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lang w:eastAsia="zh-CN"/>
        </w:rPr>
        <w:t>技术标评分办法</w:t>
      </w:r>
      <w:bookmarkStart w:id="0" w:name="_GoBack"/>
      <w:bookmarkEnd w:id="0"/>
    </w:p>
    <w:tbl>
      <w:tblPr>
        <w:tblStyle w:val="3"/>
        <w:tblW w:w="1011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104"/>
        <w:gridCol w:w="6031"/>
        <w:gridCol w:w="12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noWrap w:val="0"/>
            <w:vAlign w:val="center"/>
          </w:tcPr>
          <w:p>
            <w:pPr>
              <w:jc w:val="center"/>
              <w:rPr>
                <w:rFonts w:hint="eastAsia" w:ascii="宋体" w:hAnsi="宋体" w:cs="宋体" w:eastAsiaTheme="minorEastAsia"/>
                <w:color w:val="000000"/>
                <w:szCs w:val="21"/>
                <w:lang w:eastAsia="zh-CN"/>
              </w:rPr>
            </w:pPr>
            <w:r>
              <w:rPr>
                <w:rFonts w:hint="eastAsia" w:ascii="宋体" w:hAnsi="宋体" w:cs="宋体"/>
                <w:color w:val="000000"/>
                <w:szCs w:val="21"/>
                <w:lang w:eastAsia="zh-CN"/>
              </w:rPr>
              <w:t>序号</w:t>
            </w:r>
          </w:p>
        </w:tc>
        <w:tc>
          <w:tcPr>
            <w:tcW w:w="2104"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评分项目</w:t>
            </w:r>
          </w:p>
        </w:tc>
        <w:tc>
          <w:tcPr>
            <w:tcW w:w="6031"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打分办法</w:t>
            </w:r>
          </w:p>
        </w:tc>
        <w:tc>
          <w:tcPr>
            <w:tcW w:w="1234" w:type="dxa"/>
            <w:noWrap w:val="0"/>
            <w:vAlign w:val="center"/>
          </w:tcPr>
          <w:p>
            <w:pPr>
              <w:jc w:val="center"/>
              <w:rPr>
                <w:rFonts w:hint="eastAsia" w:ascii="宋体" w:hAnsi="宋体" w:cs="宋体"/>
                <w:color w:val="000000"/>
                <w:szCs w:val="21"/>
              </w:rPr>
            </w:pPr>
            <w:r>
              <w:rPr>
                <w:rFonts w:hint="eastAsia" w:ascii="宋体" w:hAnsi="宋体" w:cs="宋体"/>
                <w:color w:val="000000"/>
                <w:szCs w:val="21"/>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Merge w:val="restart"/>
            <w:noWrap w:val="0"/>
            <w:vAlign w:val="center"/>
          </w:tcPr>
          <w:p>
            <w:pPr>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1</w:t>
            </w:r>
          </w:p>
        </w:tc>
        <w:tc>
          <w:tcPr>
            <w:tcW w:w="2104" w:type="dxa"/>
            <w:vMerge w:val="restart"/>
            <w:noWrap w:val="0"/>
            <w:vAlign w:val="center"/>
          </w:tcPr>
          <w:p>
            <w:pPr>
              <w:jc w:val="center"/>
              <w:rPr>
                <w:rFonts w:hint="eastAsia" w:ascii="宋体" w:hAnsi="宋体" w:cs="宋体"/>
                <w:color w:val="000000"/>
                <w:szCs w:val="21"/>
              </w:rPr>
            </w:pPr>
            <w:r>
              <w:rPr>
                <w:rFonts w:hint="eastAsia" w:ascii="宋体" w:hAnsi="宋体"/>
                <w:color w:val="000000"/>
                <w:szCs w:val="21"/>
              </w:rPr>
              <w:t>技术方案</w:t>
            </w:r>
          </w:p>
        </w:tc>
        <w:tc>
          <w:tcPr>
            <w:tcW w:w="6031" w:type="dxa"/>
            <w:noWrap w:val="0"/>
            <w:vAlign w:val="center"/>
          </w:tcPr>
          <w:p>
            <w:pPr>
              <w:rPr>
                <w:rFonts w:ascii="宋体" w:hAnsi="宋体" w:cs="宋体"/>
                <w:color w:val="000000"/>
                <w:szCs w:val="21"/>
              </w:rPr>
            </w:pPr>
            <w:r>
              <w:rPr>
                <w:rFonts w:hint="eastAsia"/>
                <w:color w:val="000000"/>
                <w:szCs w:val="21"/>
                <w:lang w:val="en-US" w:eastAsia="zh-CN"/>
              </w:rPr>
              <w:t>1.</w:t>
            </w:r>
            <w:r>
              <w:rPr>
                <w:rFonts w:hint="eastAsia"/>
                <w:color w:val="000000"/>
                <w:szCs w:val="21"/>
              </w:rPr>
              <w:t>本项目消杀服务的具体技术方案和消杀实施方案的科学性、实用性、可操作性及新技术应用，</w:t>
            </w:r>
            <w:r>
              <w:rPr>
                <w:rFonts w:hint="eastAsia" w:ascii="宋体" w:hAnsi="宋体"/>
                <w:color w:val="000000"/>
                <w:szCs w:val="21"/>
              </w:rPr>
              <w:t>进行综合评价0-5分。</w:t>
            </w:r>
          </w:p>
        </w:tc>
        <w:tc>
          <w:tcPr>
            <w:tcW w:w="1234" w:type="dxa"/>
            <w:noWrap w:val="0"/>
            <w:vAlign w:val="center"/>
          </w:tcPr>
          <w:p>
            <w:pPr>
              <w:jc w:val="center"/>
              <w:rPr>
                <w:rFonts w:hint="eastAsia" w:ascii="宋体" w:hAnsi="宋体" w:cs="宋体"/>
                <w:color w:val="000000"/>
                <w:szCs w:val="21"/>
              </w:rPr>
            </w:pPr>
            <w:r>
              <w:rPr>
                <w:rFonts w:hint="eastAsia" w:ascii="宋体" w:hAnsi="宋体"/>
                <w:color w:val="000000"/>
                <w:szCs w:val="21"/>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Merge w:val="continue"/>
            <w:noWrap w:val="0"/>
            <w:vAlign w:val="center"/>
          </w:tcPr>
          <w:p>
            <w:pPr>
              <w:jc w:val="center"/>
              <w:rPr>
                <w:rFonts w:hint="eastAsia" w:ascii="宋体" w:hAnsi="宋体"/>
                <w:color w:val="000000"/>
                <w:szCs w:val="21"/>
              </w:rPr>
            </w:pPr>
          </w:p>
        </w:tc>
        <w:tc>
          <w:tcPr>
            <w:tcW w:w="2104" w:type="dxa"/>
            <w:vMerge w:val="continue"/>
            <w:noWrap w:val="0"/>
            <w:vAlign w:val="center"/>
          </w:tcPr>
          <w:p>
            <w:pPr>
              <w:jc w:val="center"/>
              <w:rPr>
                <w:rFonts w:hint="eastAsia" w:ascii="宋体" w:hAnsi="宋体"/>
                <w:color w:val="000000"/>
                <w:szCs w:val="21"/>
              </w:rPr>
            </w:pPr>
          </w:p>
        </w:tc>
        <w:tc>
          <w:tcPr>
            <w:tcW w:w="6031" w:type="dxa"/>
            <w:noWrap w:val="0"/>
            <w:vAlign w:val="center"/>
          </w:tcPr>
          <w:p>
            <w:pPr>
              <w:rPr>
                <w:color w:val="000000"/>
                <w:szCs w:val="21"/>
              </w:rPr>
            </w:pPr>
            <w:r>
              <w:rPr>
                <w:rFonts w:hint="eastAsia"/>
                <w:color w:val="000000"/>
                <w:szCs w:val="21"/>
                <w:lang w:val="en-US" w:eastAsia="zh-CN"/>
              </w:rPr>
              <w:t>2.</w:t>
            </w:r>
            <w:r>
              <w:rPr>
                <w:rFonts w:hint="eastAsia"/>
                <w:color w:val="000000"/>
                <w:szCs w:val="21"/>
              </w:rPr>
              <w:t>对防治对象、种类调查、密度检测控制方法，</w:t>
            </w:r>
            <w:r>
              <w:rPr>
                <w:rFonts w:hint="eastAsia" w:ascii="宋体" w:hAnsi="宋体"/>
                <w:color w:val="000000"/>
                <w:szCs w:val="21"/>
              </w:rPr>
              <w:t>综合评价0-3分。</w:t>
            </w:r>
          </w:p>
        </w:tc>
        <w:tc>
          <w:tcPr>
            <w:tcW w:w="1234" w:type="dxa"/>
            <w:noWrap w:val="0"/>
            <w:vAlign w:val="center"/>
          </w:tcPr>
          <w:p>
            <w:pPr>
              <w:jc w:val="center"/>
              <w:rPr>
                <w:rFonts w:ascii="宋体" w:hAnsi="宋体"/>
                <w:color w:val="000000"/>
                <w:szCs w:val="21"/>
              </w:rPr>
            </w:pPr>
            <w:r>
              <w:rPr>
                <w:rFonts w:hint="eastAsia" w:ascii="宋体" w:hAnsi="宋体"/>
                <w:color w:val="000000"/>
                <w:szCs w:val="21"/>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Merge w:val="continue"/>
            <w:noWrap w:val="0"/>
            <w:vAlign w:val="center"/>
          </w:tcPr>
          <w:p>
            <w:pPr>
              <w:jc w:val="center"/>
              <w:rPr>
                <w:rFonts w:hint="eastAsia" w:ascii="宋体" w:hAnsi="宋体"/>
                <w:color w:val="000000"/>
                <w:szCs w:val="21"/>
              </w:rPr>
            </w:pPr>
          </w:p>
        </w:tc>
        <w:tc>
          <w:tcPr>
            <w:tcW w:w="2104" w:type="dxa"/>
            <w:vMerge w:val="continue"/>
            <w:noWrap w:val="0"/>
            <w:vAlign w:val="center"/>
          </w:tcPr>
          <w:p>
            <w:pPr>
              <w:jc w:val="center"/>
              <w:rPr>
                <w:rFonts w:hint="eastAsia" w:ascii="宋体" w:hAnsi="宋体"/>
                <w:color w:val="000000"/>
                <w:szCs w:val="21"/>
              </w:rPr>
            </w:pPr>
          </w:p>
        </w:tc>
        <w:tc>
          <w:tcPr>
            <w:tcW w:w="6031" w:type="dxa"/>
            <w:noWrap w:val="0"/>
            <w:vAlign w:val="center"/>
          </w:tcPr>
          <w:p>
            <w:pPr>
              <w:rPr>
                <w:color w:val="000000"/>
                <w:szCs w:val="21"/>
              </w:rPr>
            </w:pPr>
            <w:r>
              <w:rPr>
                <w:rFonts w:hint="eastAsia"/>
                <w:color w:val="000000"/>
                <w:szCs w:val="21"/>
                <w:lang w:val="en-US" w:eastAsia="zh-CN"/>
              </w:rPr>
              <w:t>3.</w:t>
            </w:r>
            <w:r>
              <w:rPr>
                <w:rFonts w:hint="eastAsia"/>
                <w:color w:val="000000"/>
                <w:szCs w:val="21"/>
              </w:rPr>
              <w:t>对每种害虫防治周期、用药安排合理性，</w:t>
            </w:r>
            <w:r>
              <w:rPr>
                <w:rFonts w:hint="eastAsia" w:ascii="宋体" w:hAnsi="宋体"/>
                <w:color w:val="000000"/>
                <w:szCs w:val="21"/>
              </w:rPr>
              <w:t>进行综合评价0-3分。</w:t>
            </w:r>
          </w:p>
        </w:tc>
        <w:tc>
          <w:tcPr>
            <w:tcW w:w="1234" w:type="dxa"/>
            <w:noWrap w:val="0"/>
            <w:vAlign w:val="center"/>
          </w:tcPr>
          <w:p>
            <w:pPr>
              <w:jc w:val="center"/>
              <w:rPr>
                <w:rFonts w:ascii="宋体" w:hAnsi="宋体"/>
                <w:color w:val="000000"/>
                <w:szCs w:val="21"/>
              </w:rPr>
            </w:pPr>
            <w:r>
              <w:rPr>
                <w:rFonts w:hint="eastAsia" w:ascii="宋体" w:hAnsi="宋体"/>
                <w:color w:val="000000"/>
                <w:szCs w:val="21"/>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vMerge w:val="continue"/>
            <w:noWrap w:val="0"/>
            <w:vAlign w:val="center"/>
          </w:tcPr>
          <w:p>
            <w:pPr>
              <w:jc w:val="center"/>
              <w:rPr>
                <w:rFonts w:hint="eastAsia" w:ascii="宋体" w:hAnsi="宋体"/>
                <w:color w:val="000000"/>
                <w:szCs w:val="21"/>
              </w:rPr>
            </w:pPr>
          </w:p>
        </w:tc>
        <w:tc>
          <w:tcPr>
            <w:tcW w:w="2104" w:type="dxa"/>
            <w:vMerge w:val="continue"/>
            <w:noWrap w:val="0"/>
            <w:vAlign w:val="center"/>
          </w:tcPr>
          <w:p>
            <w:pPr>
              <w:jc w:val="center"/>
              <w:rPr>
                <w:rFonts w:hint="eastAsia" w:ascii="宋体" w:hAnsi="宋体"/>
                <w:color w:val="000000"/>
                <w:szCs w:val="21"/>
              </w:rPr>
            </w:pPr>
          </w:p>
        </w:tc>
        <w:tc>
          <w:tcPr>
            <w:tcW w:w="6031" w:type="dxa"/>
            <w:noWrap w:val="0"/>
            <w:vAlign w:val="center"/>
          </w:tcPr>
          <w:p>
            <w:pPr>
              <w:rPr>
                <w:color w:val="000000"/>
                <w:szCs w:val="21"/>
              </w:rPr>
            </w:pPr>
            <w:r>
              <w:rPr>
                <w:rFonts w:hint="eastAsia"/>
                <w:color w:val="000000"/>
                <w:szCs w:val="21"/>
                <w:lang w:val="en-US" w:eastAsia="zh-CN"/>
              </w:rPr>
              <w:t>4.</w:t>
            </w:r>
            <w:r>
              <w:rPr>
                <w:rFonts w:hint="eastAsia"/>
                <w:color w:val="000000"/>
                <w:szCs w:val="21"/>
              </w:rPr>
              <w:t>药物选择合理性，对不同环境用药措施和方法可行性，</w:t>
            </w:r>
            <w:r>
              <w:rPr>
                <w:rFonts w:hint="eastAsia" w:ascii="宋体" w:hAnsi="宋体"/>
                <w:color w:val="000000"/>
                <w:szCs w:val="21"/>
              </w:rPr>
              <w:t>综合评价0-3分。</w:t>
            </w:r>
          </w:p>
        </w:tc>
        <w:tc>
          <w:tcPr>
            <w:tcW w:w="1234" w:type="dxa"/>
            <w:noWrap w:val="0"/>
            <w:vAlign w:val="center"/>
          </w:tcPr>
          <w:p>
            <w:pPr>
              <w:jc w:val="center"/>
              <w:rPr>
                <w:rFonts w:ascii="宋体" w:hAnsi="宋体"/>
                <w:color w:val="000000"/>
                <w:szCs w:val="21"/>
              </w:rPr>
            </w:pPr>
            <w:r>
              <w:rPr>
                <w:rFonts w:hint="eastAsia" w:ascii="宋体" w:hAnsi="宋体"/>
                <w:color w:val="000000"/>
                <w:szCs w:val="21"/>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noWrap w:val="0"/>
            <w:vAlign w:val="center"/>
          </w:tcPr>
          <w:p>
            <w:pPr>
              <w:jc w:val="center"/>
              <w:rPr>
                <w:rFonts w:hint="eastAsia" w:eastAsiaTheme="minorEastAsia"/>
                <w:color w:val="000000"/>
                <w:szCs w:val="21"/>
                <w:lang w:val="en-US" w:eastAsia="zh-CN"/>
              </w:rPr>
            </w:pPr>
            <w:r>
              <w:rPr>
                <w:rFonts w:hint="eastAsia"/>
                <w:color w:val="000000"/>
                <w:szCs w:val="21"/>
                <w:lang w:val="en-US" w:eastAsia="zh-CN"/>
              </w:rPr>
              <w:t>2</w:t>
            </w:r>
          </w:p>
        </w:tc>
        <w:tc>
          <w:tcPr>
            <w:tcW w:w="2104" w:type="dxa"/>
            <w:noWrap w:val="0"/>
            <w:vAlign w:val="center"/>
          </w:tcPr>
          <w:p>
            <w:pPr>
              <w:jc w:val="center"/>
              <w:rPr>
                <w:rFonts w:hint="eastAsia" w:ascii="宋体" w:hAnsi="宋体"/>
                <w:color w:val="000000"/>
                <w:szCs w:val="21"/>
              </w:rPr>
            </w:pPr>
            <w:r>
              <w:rPr>
                <w:rFonts w:hint="eastAsia"/>
                <w:color w:val="000000"/>
                <w:szCs w:val="21"/>
              </w:rPr>
              <w:t>消杀所采用药物</w:t>
            </w:r>
          </w:p>
        </w:tc>
        <w:tc>
          <w:tcPr>
            <w:tcW w:w="6031" w:type="dxa"/>
            <w:noWrap w:val="0"/>
            <w:vAlign w:val="center"/>
          </w:tcPr>
          <w:p>
            <w:pPr>
              <w:rPr>
                <w:rFonts w:hint="eastAsia" w:ascii="宋体" w:hAnsi="宋体"/>
                <w:color w:val="000000"/>
                <w:szCs w:val="21"/>
              </w:rPr>
            </w:pPr>
            <w:r>
              <w:rPr>
                <w:rFonts w:hint="eastAsia"/>
                <w:color w:val="000000"/>
                <w:szCs w:val="21"/>
              </w:rPr>
              <w:t>对</w:t>
            </w:r>
            <w:r>
              <w:rPr>
                <w:rFonts w:hint="eastAsia"/>
                <w:color w:val="000000"/>
                <w:szCs w:val="21"/>
                <w:lang w:eastAsia="zh-CN"/>
              </w:rPr>
              <w:t>响应人</w:t>
            </w:r>
            <w:r>
              <w:rPr>
                <w:rFonts w:hint="eastAsia"/>
                <w:color w:val="000000"/>
                <w:szCs w:val="21"/>
              </w:rPr>
              <w:t>消杀所采用药物的有效、环保、安全性进行评价，具有公众责任险（消杀中出现安全事故的保险）</w:t>
            </w:r>
            <w:r>
              <w:rPr>
                <w:rFonts w:hint="eastAsia" w:ascii="宋体" w:hAnsi="宋体"/>
                <w:color w:val="000000"/>
                <w:szCs w:val="21"/>
              </w:rPr>
              <w:t>，综合评价0-5分。</w:t>
            </w:r>
          </w:p>
        </w:tc>
        <w:tc>
          <w:tcPr>
            <w:tcW w:w="1234" w:type="dxa"/>
            <w:noWrap w:val="0"/>
            <w:vAlign w:val="center"/>
          </w:tcPr>
          <w:p>
            <w:pPr>
              <w:jc w:val="center"/>
              <w:rPr>
                <w:rFonts w:hint="eastAsia" w:ascii="宋体" w:hAnsi="宋体"/>
                <w:color w:val="000000"/>
                <w:szCs w:val="21"/>
              </w:rPr>
            </w:pPr>
            <w:r>
              <w:rPr>
                <w:rFonts w:hint="eastAsia" w:ascii="宋体" w:hAnsi="宋体"/>
                <w:color w:val="000000"/>
                <w:szCs w:val="21"/>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noWrap w:val="0"/>
            <w:vAlign w:val="center"/>
          </w:tcPr>
          <w:p>
            <w:pPr>
              <w:jc w:val="center"/>
              <w:rPr>
                <w:rFonts w:hint="eastAsia" w:eastAsiaTheme="minorEastAsia"/>
                <w:color w:val="000000"/>
                <w:szCs w:val="21"/>
                <w:lang w:val="en-US" w:eastAsia="zh-CN"/>
              </w:rPr>
            </w:pPr>
            <w:r>
              <w:rPr>
                <w:rFonts w:hint="eastAsia"/>
                <w:color w:val="000000"/>
                <w:szCs w:val="21"/>
                <w:lang w:val="en-US" w:eastAsia="zh-CN"/>
              </w:rPr>
              <w:t>3</w:t>
            </w:r>
          </w:p>
        </w:tc>
        <w:tc>
          <w:tcPr>
            <w:tcW w:w="2104" w:type="dxa"/>
            <w:noWrap w:val="0"/>
            <w:vAlign w:val="center"/>
          </w:tcPr>
          <w:p>
            <w:pPr>
              <w:jc w:val="center"/>
              <w:rPr>
                <w:rFonts w:hint="eastAsia"/>
                <w:color w:val="000000"/>
                <w:szCs w:val="21"/>
              </w:rPr>
            </w:pPr>
            <w:r>
              <w:rPr>
                <w:rFonts w:hint="eastAsia"/>
                <w:color w:val="000000"/>
                <w:szCs w:val="21"/>
              </w:rPr>
              <w:t>消杀服务使用器械、工具</w:t>
            </w:r>
          </w:p>
        </w:tc>
        <w:tc>
          <w:tcPr>
            <w:tcW w:w="6031" w:type="dxa"/>
            <w:noWrap w:val="0"/>
            <w:vAlign w:val="center"/>
          </w:tcPr>
          <w:p>
            <w:pPr>
              <w:rPr>
                <w:color w:val="000000"/>
                <w:szCs w:val="21"/>
              </w:rPr>
            </w:pPr>
            <w:r>
              <w:rPr>
                <w:rFonts w:hint="eastAsia"/>
                <w:color w:val="000000"/>
                <w:szCs w:val="21"/>
              </w:rPr>
              <w:t>对</w:t>
            </w:r>
            <w:r>
              <w:rPr>
                <w:rFonts w:hint="eastAsia"/>
                <w:color w:val="000000"/>
                <w:szCs w:val="21"/>
                <w:lang w:eastAsia="zh-CN"/>
              </w:rPr>
              <w:t>响应人</w:t>
            </w:r>
            <w:r>
              <w:rPr>
                <w:rFonts w:hint="eastAsia"/>
                <w:color w:val="000000"/>
                <w:szCs w:val="21"/>
              </w:rPr>
              <w:t>消杀服务使用器械的先进性、合理性、可靠性进行评价。0-3分</w:t>
            </w:r>
          </w:p>
        </w:tc>
        <w:tc>
          <w:tcPr>
            <w:tcW w:w="1234" w:type="dxa"/>
            <w:noWrap w:val="0"/>
            <w:vAlign w:val="center"/>
          </w:tcPr>
          <w:p>
            <w:pPr>
              <w:jc w:val="center"/>
              <w:rPr>
                <w:rFonts w:ascii="宋体" w:hAnsi="宋体"/>
                <w:color w:val="000000"/>
                <w:szCs w:val="21"/>
              </w:rPr>
            </w:pPr>
            <w:r>
              <w:rPr>
                <w:rFonts w:hint="eastAsia" w:ascii="宋体" w:hAnsi="宋体"/>
                <w:color w:val="000000"/>
                <w:szCs w:val="21"/>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noWrap w:val="0"/>
            <w:vAlign w:val="center"/>
          </w:tcPr>
          <w:p>
            <w:pPr>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4</w:t>
            </w:r>
          </w:p>
        </w:tc>
        <w:tc>
          <w:tcPr>
            <w:tcW w:w="2104" w:type="dxa"/>
            <w:noWrap w:val="0"/>
            <w:vAlign w:val="center"/>
          </w:tcPr>
          <w:p>
            <w:pPr>
              <w:jc w:val="center"/>
              <w:rPr>
                <w:rFonts w:hint="eastAsia" w:ascii="宋体" w:hAnsi="宋体" w:cs="宋体"/>
                <w:color w:val="000000"/>
                <w:szCs w:val="21"/>
              </w:rPr>
            </w:pPr>
            <w:r>
              <w:rPr>
                <w:rFonts w:hint="eastAsia" w:ascii="宋体" w:hAnsi="宋体"/>
                <w:color w:val="000000"/>
                <w:szCs w:val="21"/>
              </w:rPr>
              <w:t>虫害综合治理服务经验能力</w:t>
            </w:r>
          </w:p>
        </w:tc>
        <w:tc>
          <w:tcPr>
            <w:tcW w:w="6031" w:type="dxa"/>
            <w:noWrap w:val="0"/>
            <w:vAlign w:val="center"/>
          </w:tcPr>
          <w:p>
            <w:pPr>
              <w:rPr>
                <w:rFonts w:ascii="宋体" w:hAnsi="宋体" w:cs="宋体"/>
                <w:color w:val="000000"/>
                <w:szCs w:val="21"/>
              </w:rPr>
            </w:pPr>
            <w:r>
              <w:rPr>
                <w:rFonts w:hint="eastAsia" w:ascii="宋体" w:hAnsi="宋体"/>
                <w:color w:val="000000"/>
                <w:szCs w:val="21"/>
                <w:lang w:eastAsia="zh-CN"/>
              </w:rPr>
              <w:t>响应人</w:t>
            </w:r>
            <w:r>
              <w:rPr>
                <w:rFonts w:hint="eastAsia" w:ascii="宋体" w:hAnsi="宋体"/>
                <w:color w:val="000000"/>
                <w:szCs w:val="21"/>
              </w:rPr>
              <w:t>在院区内虫害综合治理、防范方面的方案、服务目标、经验能力是否符合招标书的要求，评委从以往综合治理服务业绩（参见经营业绩）、效果、客户应用情况和服务效率方面进行评判</w:t>
            </w:r>
            <w:r>
              <w:rPr>
                <w:rFonts w:hint="eastAsia" w:ascii="宋体" w:hAnsi="宋体"/>
                <w:color w:val="000000"/>
                <w:szCs w:val="21"/>
                <w:lang w:eastAsia="zh-CN"/>
              </w:rPr>
              <w:t>，</w:t>
            </w:r>
            <w:r>
              <w:rPr>
                <w:rFonts w:hint="eastAsia" w:ascii="宋体" w:hAnsi="宋体"/>
                <w:color w:val="000000"/>
                <w:szCs w:val="21"/>
              </w:rPr>
              <w:t>0-5分</w:t>
            </w:r>
          </w:p>
        </w:tc>
        <w:tc>
          <w:tcPr>
            <w:tcW w:w="1234" w:type="dxa"/>
            <w:noWrap w:val="0"/>
            <w:vAlign w:val="center"/>
          </w:tcPr>
          <w:p>
            <w:pPr>
              <w:jc w:val="center"/>
              <w:rPr>
                <w:rFonts w:hint="default" w:ascii="宋体" w:hAnsi="宋体" w:cs="宋体" w:eastAsiaTheme="minorEastAsia"/>
                <w:color w:val="000000"/>
                <w:szCs w:val="21"/>
                <w:lang w:val="en-US" w:eastAsia="zh-CN"/>
              </w:rPr>
            </w:pPr>
            <w:r>
              <w:rPr>
                <w:rFonts w:hint="eastAsia" w:ascii="宋体" w:hAnsi="宋体"/>
                <w:color w:val="000000"/>
                <w:szCs w:val="21"/>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noWrap w:val="0"/>
            <w:vAlign w:val="center"/>
          </w:tcPr>
          <w:p>
            <w:pPr>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5</w:t>
            </w:r>
          </w:p>
        </w:tc>
        <w:tc>
          <w:tcPr>
            <w:tcW w:w="2104" w:type="dxa"/>
            <w:noWrap w:val="0"/>
            <w:vAlign w:val="center"/>
          </w:tcPr>
          <w:p>
            <w:pPr>
              <w:jc w:val="center"/>
              <w:rPr>
                <w:rFonts w:hint="eastAsia" w:ascii="宋体" w:hAnsi="宋体" w:cs="宋体"/>
                <w:color w:val="000000"/>
                <w:szCs w:val="21"/>
              </w:rPr>
            </w:pPr>
            <w:r>
              <w:rPr>
                <w:rFonts w:hint="eastAsia" w:ascii="宋体" w:hAnsi="宋体"/>
                <w:color w:val="000000"/>
                <w:szCs w:val="21"/>
              </w:rPr>
              <w:t>应急处理</w:t>
            </w:r>
          </w:p>
        </w:tc>
        <w:tc>
          <w:tcPr>
            <w:tcW w:w="6031" w:type="dxa"/>
            <w:noWrap w:val="0"/>
            <w:vAlign w:val="center"/>
          </w:tcPr>
          <w:p>
            <w:pPr>
              <w:rPr>
                <w:rFonts w:hint="eastAsia" w:ascii="宋体" w:hAnsi="宋体" w:cs="宋体"/>
                <w:color w:val="000000"/>
                <w:szCs w:val="21"/>
              </w:rPr>
            </w:pPr>
            <w:r>
              <w:rPr>
                <w:rFonts w:hint="eastAsia" w:ascii="宋体" w:hAnsi="宋体"/>
                <w:color w:val="000000"/>
                <w:szCs w:val="21"/>
                <w:lang w:eastAsia="zh-CN"/>
              </w:rPr>
              <w:t>响应人</w:t>
            </w:r>
            <w:r>
              <w:rPr>
                <w:rFonts w:hint="eastAsia" w:ascii="宋体" w:hAnsi="宋体"/>
                <w:color w:val="000000"/>
                <w:szCs w:val="21"/>
              </w:rPr>
              <w:t>对突发虫情的应对处理方案，评委从方案的可行性、严谨性、可控性。综合评价0-</w:t>
            </w:r>
            <w:r>
              <w:rPr>
                <w:rFonts w:hint="eastAsia" w:ascii="宋体" w:hAnsi="宋体"/>
                <w:color w:val="000000"/>
                <w:szCs w:val="21"/>
                <w:lang w:val="en-US" w:eastAsia="zh-CN"/>
              </w:rPr>
              <w:t>3</w:t>
            </w:r>
            <w:r>
              <w:rPr>
                <w:rFonts w:hint="eastAsia" w:ascii="宋体" w:hAnsi="宋体"/>
                <w:color w:val="000000"/>
                <w:szCs w:val="21"/>
              </w:rPr>
              <w:t>分。</w:t>
            </w:r>
          </w:p>
        </w:tc>
        <w:tc>
          <w:tcPr>
            <w:tcW w:w="1234" w:type="dxa"/>
            <w:noWrap w:val="0"/>
            <w:vAlign w:val="center"/>
          </w:tcPr>
          <w:p>
            <w:pPr>
              <w:jc w:val="center"/>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noWrap w:val="0"/>
            <w:vAlign w:val="center"/>
          </w:tcPr>
          <w:p>
            <w:pPr>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6</w:t>
            </w:r>
          </w:p>
        </w:tc>
        <w:tc>
          <w:tcPr>
            <w:tcW w:w="2104" w:type="dxa"/>
            <w:noWrap w:val="0"/>
            <w:vAlign w:val="center"/>
          </w:tcPr>
          <w:p>
            <w:pPr>
              <w:jc w:val="center"/>
              <w:rPr>
                <w:rFonts w:hint="eastAsia" w:ascii="宋体" w:hAnsi="宋体" w:cs="宋体"/>
                <w:color w:val="000000"/>
                <w:szCs w:val="21"/>
              </w:rPr>
            </w:pPr>
            <w:r>
              <w:rPr>
                <w:rFonts w:hint="eastAsia" w:ascii="宋体" w:hAnsi="宋体"/>
                <w:color w:val="000000"/>
                <w:szCs w:val="21"/>
              </w:rPr>
              <w:t>针对院区害虫治理的安全防范措施</w:t>
            </w:r>
          </w:p>
        </w:tc>
        <w:tc>
          <w:tcPr>
            <w:tcW w:w="6031" w:type="dxa"/>
            <w:noWrap w:val="0"/>
            <w:vAlign w:val="center"/>
          </w:tcPr>
          <w:p>
            <w:pPr>
              <w:rPr>
                <w:rFonts w:hint="eastAsia" w:ascii="宋体" w:hAnsi="宋体" w:cs="宋体"/>
                <w:color w:val="000000"/>
                <w:szCs w:val="21"/>
              </w:rPr>
            </w:pPr>
            <w:r>
              <w:rPr>
                <w:rFonts w:hint="eastAsia" w:ascii="宋体" w:hAnsi="宋体"/>
                <w:color w:val="000000"/>
                <w:szCs w:val="21"/>
                <w:lang w:eastAsia="zh-CN"/>
              </w:rPr>
              <w:t>响应人</w:t>
            </w:r>
            <w:r>
              <w:rPr>
                <w:rFonts w:hint="eastAsia" w:ascii="宋体" w:hAnsi="宋体"/>
                <w:color w:val="000000"/>
                <w:szCs w:val="21"/>
              </w:rPr>
              <w:t>针对院区区域害虫综合治理中，采取的安全防范措施评价。0-5分</w:t>
            </w:r>
          </w:p>
        </w:tc>
        <w:tc>
          <w:tcPr>
            <w:tcW w:w="1234" w:type="dxa"/>
            <w:noWrap w:val="0"/>
            <w:vAlign w:val="center"/>
          </w:tcPr>
          <w:p>
            <w:pPr>
              <w:jc w:val="center"/>
              <w:rPr>
                <w:rFonts w:hint="default" w:ascii="宋体" w:hAnsi="宋体" w:cs="宋体" w:eastAsiaTheme="minorEastAsia"/>
                <w:color w:val="000000"/>
                <w:szCs w:val="21"/>
                <w:lang w:val="en-US" w:eastAsia="zh-CN"/>
              </w:rPr>
            </w:pPr>
            <w:r>
              <w:rPr>
                <w:rFonts w:hint="eastAsia" w:ascii="宋体" w:hAnsi="宋体"/>
                <w:color w:val="000000"/>
                <w:szCs w:val="21"/>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noWrap w:val="0"/>
            <w:vAlign w:val="center"/>
          </w:tcPr>
          <w:p>
            <w:pPr>
              <w:jc w:val="center"/>
              <w:rPr>
                <w:rFonts w:hint="eastAsia" w:eastAsiaTheme="minorEastAsia"/>
                <w:color w:val="000000"/>
                <w:szCs w:val="21"/>
                <w:lang w:val="en-US" w:eastAsia="zh-CN"/>
              </w:rPr>
            </w:pPr>
            <w:r>
              <w:rPr>
                <w:rFonts w:hint="eastAsia"/>
                <w:color w:val="000000"/>
                <w:szCs w:val="21"/>
                <w:lang w:val="en-US" w:eastAsia="zh-CN"/>
              </w:rPr>
              <w:t>7</w:t>
            </w:r>
          </w:p>
        </w:tc>
        <w:tc>
          <w:tcPr>
            <w:tcW w:w="2104" w:type="dxa"/>
            <w:noWrap w:val="0"/>
            <w:vAlign w:val="center"/>
          </w:tcPr>
          <w:p>
            <w:pPr>
              <w:jc w:val="center"/>
              <w:rPr>
                <w:rFonts w:hint="eastAsia" w:ascii="宋体" w:hAnsi="宋体"/>
                <w:color w:val="000000"/>
                <w:szCs w:val="21"/>
              </w:rPr>
            </w:pPr>
            <w:r>
              <w:rPr>
                <w:rFonts w:hint="eastAsia"/>
                <w:color w:val="000000"/>
                <w:szCs w:val="21"/>
              </w:rPr>
              <w:t>消杀防治的人员配备情况</w:t>
            </w:r>
          </w:p>
        </w:tc>
        <w:tc>
          <w:tcPr>
            <w:tcW w:w="6031" w:type="dxa"/>
            <w:noWrap w:val="0"/>
            <w:vAlign w:val="center"/>
          </w:tcPr>
          <w:p>
            <w:pPr>
              <w:rPr>
                <w:rFonts w:ascii="宋体" w:hAnsi="宋体"/>
                <w:color w:val="000000"/>
                <w:szCs w:val="21"/>
              </w:rPr>
            </w:pPr>
            <w:r>
              <w:rPr>
                <w:rFonts w:hint="eastAsia"/>
                <w:color w:val="000000"/>
                <w:szCs w:val="21"/>
              </w:rPr>
              <w:t>本项目组成人员，针对本项目负责人和实施人员安排计划，0-2分</w:t>
            </w:r>
            <w:r>
              <w:rPr>
                <w:rFonts w:hint="eastAsia"/>
                <w:color w:val="000000"/>
                <w:szCs w:val="21"/>
                <w:lang w:eastAsia="zh-CN"/>
              </w:rPr>
              <w:t>；</w:t>
            </w:r>
            <w:r>
              <w:rPr>
                <w:rFonts w:hint="eastAsia"/>
                <w:color w:val="000000"/>
                <w:szCs w:val="21"/>
              </w:rPr>
              <w:t>项目实施技术人员具有中级及以上有害生物防制员职业资格证书复印件，酌情给分，0-3分（提供</w:t>
            </w:r>
            <w:r>
              <w:rPr>
                <w:rFonts w:hint="eastAsia"/>
                <w:color w:val="000000"/>
                <w:szCs w:val="21"/>
                <w:lang w:val="en-US" w:eastAsia="zh-CN"/>
              </w:rPr>
              <w:t>6个月及以上</w:t>
            </w:r>
            <w:r>
              <w:rPr>
                <w:rFonts w:hint="eastAsia"/>
                <w:color w:val="000000"/>
                <w:szCs w:val="21"/>
              </w:rPr>
              <w:t>社保证明文件）</w:t>
            </w:r>
          </w:p>
        </w:tc>
        <w:tc>
          <w:tcPr>
            <w:tcW w:w="1234" w:type="dxa"/>
            <w:noWrap w:val="0"/>
            <w:vAlign w:val="center"/>
          </w:tcPr>
          <w:p>
            <w:pPr>
              <w:jc w:val="center"/>
              <w:rPr>
                <w:rFonts w:hint="eastAsia" w:ascii="宋体" w:hAnsi="宋体"/>
                <w:color w:val="000000"/>
                <w:szCs w:val="21"/>
              </w:rPr>
            </w:pPr>
            <w:r>
              <w:rPr>
                <w:rFonts w:hint="eastAsia" w:ascii="宋体" w:hAnsi="宋体"/>
                <w:color w:val="000000"/>
                <w:szCs w:val="21"/>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6" w:type="dxa"/>
            <w:noWrap w:val="0"/>
            <w:vAlign w:val="center"/>
          </w:tcPr>
          <w:p>
            <w:pPr>
              <w:jc w:val="center"/>
              <w:rPr>
                <w:rFonts w:hint="default"/>
                <w:color w:val="000000"/>
                <w:szCs w:val="21"/>
                <w:lang w:val="en-US" w:eastAsia="zh-CN"/>
              </w:rPr>
            </w:pPr>
            <w:r>
              <w:rPr>
                <w:rFonts w:hint="eastAsia"/>
                <w:color w:val="000000"/>
                <w:szCs w:val="21"/>
                <w:lang w:val="en-US" w:eastAsia="zh-CN"/>
              </w:rPr>
              <w:t>8</w:t>
            </w:r>
          </w:p>
        </w:tc>
        <w:tc>
          <w:tcPr>
            <w:tcW w:w="2104" w:type="dxa"/>
            <w:noWrap w:val="0"/>
            <w:vAlign w:val="center"/>
          </w:tcPr>
          <w:p>
            <w:pPr>
              <w:jc w:val="center"/>
              <w:rPr>
                <w:rFonts w:hint="eastAsia" w:eastAsiaTheme="minorEastAsia"/>
                <w:color w:val="000000"/>
                <w:szCs w:val="21"/>
                <w:lang w:eastAsia="zh-CN"/>
              </w:rPr>
            </w:pPr>
            <w:r>
              <w:rPr>
                <w:rFonts w:hint="eastAsia"/>
                <w:color w:val="000000"/>
                <w:szCs w:val="21"/>
                <w:lang w:eastAsia="zh-CN"/>
              </w:rPr>
              <w:t>合计</w:t>
            </w:r>
          </w:p>
        </w:tc>
        <w:tc>
          <w:tcPr>
            <w:tcW w:w="6031" w:type="dxa"/>
            <w:noWrap w:val="0"/>
            <w:vAlign w:val="center"/>
          </w:tcPr>
          <w:p>
            <w:pPr>
              <w:rPr>
                <w:rFonts w:hint="eastAsia"/>
                <w:color w:val="000000"/>
                <w:szCs w:val="21"/>
              </w:rPr>
            </w:pPr>
          </w:p>
        </w:tc>
        <w:tc>
          <w:tcPr>
            <w:tcW w:w="1234" w:type="dxa"/>
            <w:noWrap w:val="0"/>
            <w:vAlign w:val="center"/>
          </w:tcPr>
          <w:p>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40</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Y2IxMmU2MTA5YzFhOWQyOWUwM2M3YmRlZGVkMGUifQ=="/>
  </w:docVars>
  <w:rsids>
    <w:rsidRoot w:val="6E6C69F3"/>
    <w:rsid w:val="32661A26"/>
    <w:rsid w:val="56B20379"/>
    <w:rsid w:val="6E6C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572</Words>
  <Characters>599</Characters>
  <Lines>0</Lines>
  <Paragraphs>0</Paragraphs>
  <TotalTime>7</TotalTime>
  <ScaleCrop>false</ScaleCrop>
  <LinksUpToDate>false</LinksUpToDate>
  <CharactersWithSpaces>599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2023-06-29T01:04:00Z</dcterms:created>
  <dc:creator>等风来</dc:creator>
  <cp:lastModifiedBy>黄瓜王子</cp:lastModifiedBy>
  <dcterms:modified xsi:type="dcterms:W3CDTF">2023-06-29T01:22:24Z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0B0DBD5625714125B443B62107D53DAB_11</vt:lpwstr>
  </property>
</Properties>
</file>