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中频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肝病</w:t>
      </w:r>
      <w:r>
        <w:rPr>
          <w:rFonts w:hint="eastAsia" w:ascii="宋体" w:hAnsi="宋体" w:eastAsia="宋体" w:cs="宋体"/>
          <w:sz w:val="32"/>
          <w:szCs w:val="32"/>
        </w:rPr>
        <w:t>治疗仪技术</w:t>
      </w:r>
      <w:r>
        <w:rPr>
          <w:rFonts w:hint="eastAsia" w:ascii="宋体" w:hAnsi="宋体" w:cs="宋体"/>
          <w:sz w:val="32"/>
          <w:szCs w:val="32"/>
          <w:lang w:eastAsia="zh-CN"/>
        </w:rPr>
        <w:t>参数</w:t>
      </w:r>
      <w:bookmarkStart w:id="0" w:name="_GoBack"/>
      <w:bookmarkEnd w:id="0"/>
    </w:p>
    <w:p>
      <w:pPr>
        <w:rPr>
          <w:rFonts w:hint="eastAsia"/>
        </w:rPr>
      </w:pP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治疗方式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固定穴位治疗</w:t>
      </w:r>
      <w:r>
        <w:rPr>
          <w:rFonts w:hint="eastAsia" w:ascii="宋体" w:hAnsi="宋体" w:eastAsia="宋体" w:cs="宋体"/>
          <w:sz w:val="24"/>
          <w:szCs w:val="24"/>
        </w:rPr>
        <w:t>、中医循经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sz w:val="24"/>
          <w:szCs w:val="24"/>
        </w:rPr>
        <w:t>种模式并用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二、技术性能指标：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电压和频率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220V，50Hz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设备的输入功率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40VA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工作频率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1024H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</w:t>
      </w:r>
      <w:r>
        <w:rPr>
          <w:rFonts w:hint="eastAsia" w:ascii="宋体" w:hAnsi="宋体" w:eastAsia="宋体" w:cs="宋体"/>
          <w:sz w:val="24"/>
          <w:szCs w:val="24"/>
        </w:rPr>
        <w:t>±10%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脉冲宽度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244μs±10%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输出电流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</w:t>
      </w:r>
      <w:r>
        <w:rPr>
          <w:rFonts w:hint="eastAsia" w:ascii="宋体" w:hAnsi="宋体" w:eastAsia="宋体" w:cs="宋体"/>
          <w:sz w:val="24"/>
          <w:szCs w:val="24"/>
        </w:rPr>
        <w:t>基准负载（500Ω±5%）下最大输出电流：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0mA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sz w:val="24"/>
          <w:szCs w:val="24"/>
        </w:rPr>
        <w:t>输出电流应在最小至最大输出范围连续可调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6.抗干扰：</w:t>
      </w:r>
      <w:r>
        <w:rPr>
          <w:rFonts w:hint="eastAsia" w:ascii="宋体" w:hAnsi="宋体" w:eastAsia="宋体" w:cs="宋体"/>
          <w:sz w:val="24"/>
          <w:szCs w:val="24"/>
        </w:rPr>
        <w:t>双路输出相互干扰不大于5%</w:t>
      </w:r>
    </w:p>
    <w:p>
      <w:pPr>
        <w:keepLines w:val="0"/>
        <w:pageBreakBefore w:val="0"/>
        <w:widowControl w:val="0"/>
        <w:tabs>
          <w:tab w:val="left" w:pos="540"/>
          <w:tab w:val="left" w:pos="72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输出波形周期为: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7.1</w:t>
      </w:r>
      <w:r>
        <w:rPr>
          <w:rFonts w:hint="eastAsia" w:ascii="宋体" w:hAnsi="宋体" w:eastAsia="宋体" w:cs="宋体"/>
          <w:sz w:val="24"/>
          <w:szCs w:val="24"/>
        </w:rPr>
        <w:t>程序输出T1/t1=1s/50ms,T2/t2=0.5s/50ms,T3/t3=0.25s/50ms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7.2</w:t>
      </w:r>
      <w:r>
        <w:rPr>
          <w:rFonts w:hint="eastAsia" w:ascii="宋体" w:hAnsi="宋体" w:eastAsia="宋体" w:cs="宋体"/>
          <w:sz w:val="24"/>
          <w:szCs w:val="24"/>
        </w:rPr>
        <w:t>交替输出T1/t1=2s/50ms,T2/t2=1s/50ms,T3/t3=0.5s/50ms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运行模式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连续运行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电极连接导线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电极连接导线的长度应不小于1600mm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10.旋钮式操作调节输出量大小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000000"/>
    <w:rsid w:val="1FF479BC"/>
    <w:rsid w:val="4AC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ascii="Times New Roman" w:hAnsi="Times New Roman" w:eastAsia="宋体" w:cs="Times New Roman"/>
      <w:b/>
      <w:bCs/>
      <w:sz w:val="28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351</Characters>
  <Paragraphs>19</Paragraphs>
  <TotalTime>18</TotalTime>
  <ScaleCrop>false</ScaleCrop>
  <LinksUpToDate>false</LinksUpToDate>
  <CharactersWithSpaces>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2022-04-13T01:58:00Z</dcterms:created>
  <dc:creator>ThinkPad</dc:creator>
  <cp:lastModifiedBy>Administrator</cp:lastModifiedBy>
  <dcterms:modified xsi:type="dcterms:W3CDTF">2023-04-03T08:27:55Z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2D864A77934F4F79AD93B5C939A8A77C_13</vt:lpwstr>
  </property>
</Properties>
</file>