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p>
    <w:p>
      <w:pPr>
        <w:pStyle w:val="5"/>
      </w:pPr>
    </w:p>
    <w:p>
      <w:pPr>
        <w:pStyle w:val="5"/>
        <w:rPr>
          <w:rFonts w:ascii="Times New Roman"/>
        </w:rPr>
      </w:pPr>
    </w:p>
    <w:p>
      <w:pPr>
        <w:pStyle w:val="5"/>
        <w:rPr>
          <w:rFonts w:ascii="Times New Roman"/>
        </w:rPr>
      </w:pPr>
    </w:p>
    <w:p>
      <w:pPr>
        <w:pStyle w:val="5"/>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eastAsiaTheme="minorEastAsia" w:cstheme="minorBidi"/>
          <w:b/>
          <w:kern w:val="0"/>
          <w:sz w:val="44"/>
          <w:szCs w:val="44"/>
          <w:lang w:val="en-US" w:eastAsia="zh-CN" w:bidi="ar-SA"/>
        </w:rPr>
      </w:pPr>
      <w:r>
        <w:rPr>
          <w:rFonts w:hint="eastAsia" w:ascii="宋体" w:hAnsi="宋体"/>
          <w:b/>
          <w:sz w:val="44"/>
          <w:szCs w:val="44"/>
          <w:lang w:eastAsia="zh-CN"/>
        </w:rPr>
        <w:t>采购医用一次性灌肠器</w:t>
      </w:r>
    </w:p>
    <w:p>
      <w:pPr>
        <w:jc w:val="center"/>
        <w:rPr>
          <w:rFonts w:hint="eastAsia" w:ascii="宋体" w:hAnsi="宋体"/>
          <w:b/>
          <w:sz w:val="44"/>
          <w:szCs w:val="44"/>
          <w:lang w:val="en-US" w:eastAsia="zh-CN"/>
        </w:rPr>
      </w:pP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12</w:t>
      </w:r>
      <w:r>
        <w:rPr>
          <w:rFonts w:hint="eastAsia" w:ascii="宋体" w:hAnsi="宋体" w:cs="宋体"/>
          <w:b/>
          <w:sz w:val="36"/>
          <w:szCs w:val="36"/>
        </w:rPr>
        <w:t>月</w:t>
      </w:r>
    </w:p>
    <w:p>
      <w:pPr>
        <w:rPr>
          <w:rFonts w:hint="eastAsia"/>
        </w:rPr>
      </w:pPr>
      <w:r>
        <w:br w:type="page"/>
      </w:r>
    </w:p>
    <w:p>
      <w:pPr>
        <w:pStyle w:val="4"/>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5"/>
      <w:bookmarkEnd w:id="0"/>
      <w:bookmarkStart w:id="1" w:name="_Hlt534831144"/>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4"/>
        <w:rPr>
          <w:rFonts w:hint="eastAsia"/>
        </w:rPr>
      </w:pPr>
      <w:r>
        <w:br w:type="page"/>
      </w:r>
      <w:r>
        <w:rPr>
          <w:rFonts w:hint="eastAsia"/>
        </w:rPr>
        <w:t>第一章 招标公告</w:t>
      </w:r>
      <w:bookmarkEnd w:id="2"/>
    </w:p>
    <w:p>
      <w:pPr>
        <w:jc w:val="center"/>
        <w:rPr>
          <w:rFonts w:hint="eastAsia" w:ascii="宋体" w:hAnsi="宋体" w:cs="宋体"/>
          <w:b/>
          <w:sz w:val="24"/>
          <w:lang w:eastAsia="zh-CN"/>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theme="minorBidi"/>
          <w:b/>
          <w:kern w:val="0"/>
          <w:sz w:val="24"/>
          <w:szCs w:val="24"/>
          <w:lang w:val="en-US" w:eastAsia="zh-CN" w:bidi="ar-SA"/>
        </w:rPr>
        <w:t>医用一次性灌肠器</w:t>
      </w: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p>
    <w:p>
      <w:pPr>
        <w:spacing w:line="480" w:lineRule="exact"/>
        <w:rPr>
          <w:rFonts w:hint="eastAsia" w:ascii="宋体" w:hAnsi="宋体" w:cs="宋体"/>
          <w:b/>
          <w:sz w:val="24"/>
        </w:rPr>
      </w:pPr>
    </w:p>
    <w:tbl>
      <w:tblPr>
        <w:tblStyle w:val="15"/>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2"/>
              <w:spacing w:before="0"/>
              <w:jc w:val="center"/>
              <w:rPr>
                <w:rFonts w:hint="eastAsia" w:ascii="宋体" w:hAnsi="宋体" w:eastAsia="宋体" w:cs="宋体"/>
                <w:b w:val="0"/>
                <w:bCs/>
                <w:sz w:val="24"/>
                <w:lang w:eastAsia="zh-CN"/>
              </w:rPr>
            </w:pPr>
            <w:r>
              <w:rPr>
                <w:rFonts w:hint="eastAsia" w:ascii="宋体" w:hAnsi="宋体" w:cstheme="minorBidi"/>
                <w:b/>
                <w:kern w:val="0"/>
                <w:sz w:val="24"/>
                <w:szCs w:val="24"/>
                <w:lang w:val="en-US" w:eastAsia="zh-CN" w:bidi="ar-SA"/>
              </w:rPr>
              <w:t>医用一次性灌肠器</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rFonts w:hint="eastAsia" w:ascii="宋体" w:hAnsi="宋体" w:cs="宋体"/>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ascii="宋体" w:hAnsi="宋体" w:cs="宋体"/>
          <w:sz w:val="24"/>
        </w:rPr>
      </w:pPr>
      <w:r>
        <w:rPr>
          <w:rFonts w:hint="eastAsia" w:ascii="宋体" w:hAnsi="宋体" w:cs="宋体"/>
          <w:sz w:val="24"/>
        </w:rPr>
        <w:t>4、投标人应为制造商或代理商。代理商须取得所投货物制造商或总代理商的授权，并提供货物制造商的营业执照；同一品牌制造商只能授权一家投标人或单独参与投标；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2" w:firstLineChars="200"/>
        <w:rPr>
          <w:rFonts w:hint="eastAsia" w:ascii="宋体" w:hAnsi="宋体" w:cs="宋体"/>
          <w:sz w:val="24"/>
        </w:rPr>
      </w:pPr>
      <w:r>
        <w:rPr>
          <w:rFonts w:hint="eastAsia" w:ascii="宋体" w:hAnsi="宋体" w:cs="宋体"/>
          <w:b/>
          <w:sz w:val="24"/>
          <w:lang w:val="en-US" w:eastAsia="zh-CN"/>
        </w:rPr>
        <w:t>6</w:t>
      </w:r>
      <w:r>
        <w:rPr>
          <w:rFonts w:hint="eastAsia" w:ascii="宋体" w:hAnsi="宋体" w:cs="宋体"/>
          <w:b/>
          <w:sz w:val="24"/>
        </w:rPr>
        <w:t>、投标时需提交所投产品样品（因产品种类繁多，无需携带全部种类的样品，投标人自行选择样品递交，所递交的样品应能体现所投产品的质量与特点），样品可作为质量验收的依据之一；</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14"/>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color w:val="FF0000"/>
          <w:sz w:val="24"/>
        </w:rPr>
      </w:pPr>
      <w:r>
        <w:rPr>
          <w:rFonts w:ascii="宋体"/>
          <w:color w:val="auto"/>
          <w:sz w:val="24"/>
        </w:rPr>
        <w:t>1.</w:t>
      </w:r>
      <w:r>
        <w:rPr>
          <w:rFonts w:hint="eastAsia" w:ascii="宋体"/>
          <w:color w:val="auto"/>
          <w:sz w:val="24"/>
        </w:rPr>
        <w:t>招标文件获取时间：202</w:t>
      </w:r>
      <w:r>
        <w:rPr>
          <w:rFonts w:hint="eastAsia" w:ascii="宋体"/>
          <w:color w:val="auto"/>
          <w:sz w:val="24"/>
          <w:lang w:val="en-US" w:eastAsia="zh-CN"/>
        </w:rPr>
        <w:t>2</w:t>
      </w:r>
      <w:r>
        <w:rPr>
          <w:rFonts w:hint="eastAsia" w:ascii="宋体"/>
          <w:color w:val="auto"/>
          <w:sz w:val="24"/>
        </w:rPr>
        <w:t>年</w:t>
      </w:r>
      <w:r>
        <w:rPr>
          <w:rFonts w:hint="eastAsia" w:ascii="宋体"/>
          <w:color w:val="auto"/>
          <w:sz w:val="24"/>
          <w:lang w:val="en-US" w:eastAsia="zh-CN"/>
        </w:rPr>
        <w:t>12</w:t>
      </w:r>
      <w:r>
        <w:rPr>
          <w:rFonts w:hint="eastAsia" w:ascii="宋体"/>
          <w:color w:val="auto"/>
          <w:sz w:val="24"/>
        </w:rPr>
        <w:t>月</w:t>
      </w:r>
      <w:r>
        <w:rPr>
          <w:rFonts w:hint="eastAsia" w:ascii="宋体"/>
          <w:color w:val="auto"/>
          <w:sz w:val="24"/>
          <w:lang w:val="en-US" w:eastAsia="zh-CN"/>
        </w:rPr>
        <w:t>6</w:t>
      </w:r>
      <w:r>
        <w:rPr>
          <w:rFonts w:hint="eastAsia" w:ascii="宋体"/>
          <w:color w:val="auto"/>
          <w:sz w:val="24"/>
        </w:rPr>
        <w:t>日至202</w:t>
      </w:r>
      <w:r>
        <w:rPr>
          <w:rFonts w:hint="eastAsia" w:ascii="宋体"/>
          <w:color w:val="auto"/>
          <w:sz w:val="24"/>
          <w:lang w:val="en-US" w:eastAsia="zh-CN"/>
        </w:rPr>
        <w:t>2</w:t>
      </w:r>
      <w:r>
        <w:rPr>
          <w:rFonts w:hint="eastAsia" w:ascii="宋体"/>
          <w:color w:val="auto"/>
          <w:sz w:val="24"/>
        </w:rPr>
        <w:t>年</w:t>
      </w:r>
      <w:r>
        <w:rPr>
          <w:rFonts w:hint="eastAsia" w:ascii="宋体"/>
          <w:color w:val="auto"/>
          <w:sz w:val="24"/>
          <w:lang w:val="en-US" w:eastAsia="zh-CN"/>
        </w:rPr>
        <w:t>12</w:t>
      </w:r>
      <w:r>
        <w:rPr>
          <w:rFonts w:hint="eastAsia" w:ascii="宋体"/>
          <w:color w:val="auto"/>
          <w:sz w:val="24"/>
        </w:rPr>
        <w:t>月</w:t>
      </w:r>
      <w:r>
        <w:rPr>
          <w:rFonts w:hint="eastAsia" w:ascii="宋体"/>
          <w:color w:val="auto"/>
          <w:sz w:val="24"/>
          <w:lang w:val="en-US" w:eastAsia="zh-CN"/>
        </w:rPr>
        <w:t>8</w:t>
      </w:r>
      <w:r>
        <w:rPr>
          <w:rFonts w:hint="eastAsia" w:ascii="宋体"/>
          <w:color w:val="auto"/>
          <w:sz w:val="24"/>
        </w:rPr>
        <w:t>日1</w:t>
      </w:r>
      <w:r>
        <w:rPr>
          <w:rFonts w:hint="eastAsia" w:ascii="宋体"/>
          <w:color w:val="auto"/>
          <w:sz w:val="24"/>
          <w:lang w:val="en-US" w:eastAsia="zh-CN"/>
        </w:rPr>
        <w:t>6</w:t>
      </w:r>
      <w:r>
        <w:rPr>
          <w:rFonts w:hint="eastAsia" w:ascii="宋体"/>
          <w:color w:val="auto"/>
          <w:sz w:val="24"/>
        </w:rPr>
        <w:t>:</w:t>
      </w:r>
      <w:r>
        <w:rPr>
          <w:rFonts w:hint="eastAsia" w:ascii="宋体"/>
          <w:color w:val="auto"/>
          <w:sz w:val="24"/>
          <w:lang w:val="en-US" w:eastAsia="zh-CN"/>
        </w:rPr>
        <w:t>3</w:t>
      </w:r>
      <w:r>
        <w:rPr>
          <w:rFonts w:hint="eastAsia" w:ascii="宋体"/>
          <w:color w:val="auto"/>
          <w:sz w:val="24"/>
        </w:rPr>
        <w:t>0截止（北京时间）</w:t>
      </w:r>
      <w:r>
        <w:rPr>
          <w:rFonts w:hint="eastAsia" w:ascii="宋体"/>
          <w:color w:val="FF0000"/>
          <w:sz w:val="24"/>
        </w:rPr>
        <w:t>。</w:t>
      </w:r>
    </w:p>
    <w:p>
      <w:pPr>
        <w:pStyle w:val="20"/>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4"/>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Theme="minorEastAsia" w:cstheme="minorBidi"/>
                <w:b w:val="0"/>
                <w:bCs/>
                <w:kern w:val="0"/>
                <w:sz w:val="24"/>
                <w:szCs w:val="24"/>
                <w:lang w:val="en-US" w:eastAsia="zh-CN" w:bidi="ar-SA"/>
              </w:rPr>
            </w:pPr>
            <w:r>
              <w:rPr>
                <w:rFonts w:hint="eastAsia" w:hAnsi="宋体"/>
                <w:sz w:val="24"/>
              </w:rPr>
              <w:t>安徽省中西医结合医院</w:t>
            </w:r>
            <w:r>
              <w:rPr>
                <w:rFonts w:hint="eastAsia" w:hAnsi="宋体"/>
                <w:sz w:val="24"/>
                <w:lang w:val="en-US" w:eastAsia="zh-CN"/>
              </w:rPr>
              <w:t>采购</w:t>
            </w:r>
            <w:r>
              <w:rPr>
                <w:rFonts w:hint="eastAsia" w:ascii="宋体" w:hAnsi="宋体" w:cstheme="minorBidi"/>
                <w:b w:val="0"/>
                <w:bCs/>
                <w:kern w:val="0"/>
                <w:sz w:val="24"/>
                <w:szCs w:val="24"/>
                <w:lang w:val="en-US" w:eastAsia="zh-CN" w:bidi="ar-SA"/>
              </w:rPr>
              <w:t>医用一次性灌肠器</w:t>
            </w:r>
          </w:p>
          <w:p>
            <w:pPr>
              <w:pStyle w:val="20"/>
              <w:rPr>
                <w:rFonts w:hint="eastAsia" w:hAns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交货期为：接招标人通知后，7个日历日内货到现场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color w:val="auto"/>
                <w:sz w:val="24"/>
              </w:rPr>
              <w:t>在收</w:t>
            </w:r>
            <w:r>
              <w:rPr>
                <w:rFonts w:hint="eastAsia"/>
                <w:color w:val="auto"/>
                <w:sz w:val="24"/>
                <w:lang w:eastAsia="zh-CN"/>
              </w:rPr>
              <w:t>到</w:t>
            </w:r>
            <w:r>
              <w:rPr>
                <w:rFonts w:hint="eastAsia"/>
                <w:color w:val="auto"/>
                <w:sz w:val="24"/>
              </w:rPr>
              <w:t>交付的每批医用耗材产品办理完入库手续后六个月</w:t>
            </w:r>
            <w:r>
              <w:rPr>
                <w:rFonts w:hint="eastAsia"/>
                <w:color w:val="auto"/>
                <w:sz w:val="24"/>
                <w:lang w:eastAsia="zh-CN"/>
              </w:rPr>
              <w:t>后</w:t>
            </w:r>
            <w:r>
              <w:rPr>
                <w:rFonts w:hint="eastAsia"/>
                <w:color w:val="auto"/>
                <w:sz w:val="24"/>
              </w:rPr>
              <w:t>全额支付该批医用耗材货款。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本项目签定渠道合同，供货期限为3</w:t>
            </w:r>
            <w:r>
              <w:rPr>
                <w:rFonts w:hint="eastAsia"/>
                <w:sz w:val="24"/>
                <w:lang w:eastAsia="zh-CN"/>
              </w:rPr>
              <w:t>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投标文件分包制作。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color w:val="auto"/>
                <w:sz w:val="24"/>
              </w:rPr>
            </w:pPr>
            <w:r>
              <w:rPr>
                <w:rFonts w:hint="eastAsia" w:ascii="宋体" w:hAnsi="宋体"/>
                <w:b/>
                <w:color w:val="auto"/>
                <w:sz w:val="24"/>
              </w:rPr>
              <w:t>开标时间：202</w:t>
            </w:r>
            <w:r>
              <w:rPr>
                <w:rFonts w:hint="eastAsia" w:ascii="宋体" w:hAnsi="宋体"/>
                <w:b/>
                <w:color w:val="auto"/>
                <w:sz w:val="24"/>
                <w:lang w:val="en-US" w:eastAsia="zh-CN"/>
              </w:rPr>
              <w:t>2</w:t>
            </w:r>
            <w:r>
              <w:rPr>
                <w:rFonts w:hint="eastAsia" w:ascii="宋体" w:hAnsi="宋体"/>
                <w:b/>
                <w:color w:val="auto"/>
                <w:sz w:val="24"/>
              </w:rPr>
              <w:t>年</w:t>
            </w:r>
            <w:r>
              <w:rPr>
                <w:rFonts w:hint="eastAsia" w:ascii="宋体" w:hAnsi="宋体"/>
                <w:b/>
                <w:color w:val="auto"/>
                <w:sz w:val="24"/>
                <w:lang w:val="en-US" w:eastAsia="zh-CN"/>
              </w:rPr>
              <w:t>12</w:t>
            </w:r>
            <w:r>
              <w:rPr>
                <w:rFonts w:hint="eastAsia" w:ascii="宋体" w:hAnsi="宋体"/>
                <w:b/>
                <w:color w:val="auto"/>
                <w:sz w:val="24"/>
              </w:rPr>
              <w:t>月</w:t>
            </w:r>
            <w:r>
              <w:rPr>
                <w:rFonts w:hint="eastAsia" w:ascii="宋体" w:hAnsi="宋体"/>
                <w:b/>
                <w:color w:val="auto"/>
                <w:sz w:val="24"/>
                <w:lang w:val="en-US" w:eastAsia="zh-CN"/>
              </w:rPr>
              <w:t>9</w:t>
            </w:r>
            <w:r>
              <w:rPr>
                <w:rFonts w:ascii="宋体" w:hAnsi="宋体"/>
                <w:b/>
                <w:color w:val="auto"/>
                <w:sz w:val="24"/>
              </w:rPr>
              <w:t>日</w:t>
            </w:r>
            <w:r>
              <w:rPr>
                <w:rFonts w:hint="eastAsia" w:ascii="宋体" w:hAnsi="宋体"/>
                <w:b/>
                <w:color w:val="auto"/>
                <w:sz w:val="24"/>
                <w:lang w:val="en-US" w:eastAsia="zh-CN"/>
              </w:rPr>
              <w:t>9</w:t>
            </w:r>
            <w:r>
              <w:rPr>
                <w:rFonts w:hint="eastAsia" w:ascii="宋体" w:hAnsi="宋体"/>
                <w:b/>
                <w:color w:val="auto"/>
                <w:sz w:val="24"/>
              </w:rPr>
              <w:t>:30（北京时间）</w:t>
            </w:r>
          </w:p>
          <w:p>
            <w:pPr>
              <w:pStyle w:val="20"/>
              <w:rPr>
                <w:rFonts w:hint="default" w:hAnsi="宋体" w:eastAsiaTheme="minorEastAsia"/>
                <w:color w:val="FF0000"/>
                <w:sz w:val="24"/>
                <w:lang w:val="en-US" w:eastAsia="zh-CN"/>
              </w:rPr>
            </w:pPr>
            <w:r>
              <w:rPr>
                <w:rFonts w:hint="eastAsia" w:hAnsi="宋体"/>
                <w:b/>
                <w:color w:val="auto"/>
                <w:sz w:val="24"/>
              </w:rPr>
              <w:t>递交投标文件地点：</w:t>
            </w:r>
            <w:r>
              <w:rPr>
                <w:rFonts w:hint="eastAsia" w:hAnsi="宋体"/>
                <w:b/>
                <w:color w:val="auto"/>
                <w:sz w:val="24"/>
                <w:lang w:eastAsia="zh-CN"/>
              </w:rPr>
              <w:t>安徽省中西医结合医院行政楼</w:t>
            </w:r>
            <w:r>
              <w:rPr>
                <w:rFonts w:hint="eastAsia" w:hAnsi="宋体"/>
                <w:b/>
                <w:color w:val="auto"/>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中标结果将会在安徽</w:t>
            </w:r>
            <w:r>
              <w:rPr>
                <w:rFonts w:hint="eastAsia"/>
                <w:sz w:val="24"/>
                <w:lang w:eastAsia="zh-CN"/>
              </w:rPr>
              <w:t>优质</w:t>
            </w:r>
            <w:r>
              <w:rPr>
                <w:rFonts w:hint="eastAsia"/>
                <w:sz w:val="24"/>
              </w:rPr>
              <w:t>采招标采购电子交易平台</w:t>
            </w:r>
            <w:r>
              <w:rPr>
                <w:rFonts w:hint="eastAsia"/>
                <w:sz w:val="24"/>
                <w:lang w:eastAsia="zh-CN"/>
              </w:rPr>
              <w:t>和医院官网，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2"/>
      </w:pPr>
      <w:bookmarkStart w:id="12" w:name="_GoBack"/>
      <w:bookmarkEnd w:id="12"/>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2"/>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2"/>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2"/>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2"/>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0"/>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0"/>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0"/>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0"/>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0"/>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0"/>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0"/>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2"/>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5"/>
        <w:rPr>
          <w:rFonts w:hint="eastAsia"/>
        </w:rPr>
      </w:pPr>
    </w:p>
    <w:p>
      <w:pPr>
        <w:pStyle w:val="2"/>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4"/>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4"/>
      <w:bookmarkStart w:id="6" w:name="OLE_LINK3"/>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4"/>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ascii="宋体" w:hAnsi="宋体" w:cs="Arial"/>
                <w:b w:val="0"/>
                <w:bCs/>
                <w:sz w:val="24"/>
              </w:rPr>
            </w:pPr>
            <w:r>
              <w:rPr>
                <w:rFonts w:hint="eastAsia" w:ascii="宋体" w:hAnsi="宋体" w:cs="Arial"/>
                <w:b w:val="0"/>
                <w:bCs/>
                <w:sz w:val="24"/>
              </w:rPr>
              <w:t>序号</w:t>
            </w:r>
          </w:p>
        </w:tc>
        <w:tc>
          <w:tcPr>
            <w:tcW w:w="2892" w:type="dxa"/>
            <w:vAlign w:val="top"/>
          </w:tcPr>
          <w:p>
            <w:pPr>
              <w:pStyle w:val="2"/>
              <w:rPr>
                <w:rFonts w:ascii="宋体" w:hAnsi="宋体" w:cs="Arial"/>
                <w:b w:val="0"/>
                <w:bCs/>
                <w:sz w:val="24"/>
              </w:rPr>
            </w:pPr>
            <w:r>
              <w:rPr>
                <w:rFonts w:hint="eastAsia" w:ascii="宋体" w:hAnsi="宋体" w:cs="Arial"/>
                <w:b w:val="0"/>
                <w:bCs/>
                <w:sz w:val="24"/>
              </w:rPr>
              <w:t>资料名称</w:t>
            </w:r>
          </w:p>
        </w:tc>
        <w:tc>
          <w:tcPr>
            <w:tcW w:w="2892" w:type="dxa"/>
            <w:vAlign w:val="top"/>
          </w:tcPr>
          <w:p>
            <w:pPr>
              <w:pStyle w:val="2"/>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ascii="宋体" w:hAnsi="宋体" w:cs="Arial"/>
                <w:b w:val="0"/>
                <w:bCs/>
                <w:szCs w:val="28"/>
              </w:rPr>
            </w:pPr>
            <w:r>
              <w:rPr>
                <w:rFonts w:hint="eastAsia" w:ascii="宋体" w:hAnsi="宋体" w:cs="Arial"/>
                <w:b w:val="0"/>
                <w:bCs/>
                <w:szCs w:val="28"/>
              </w:rPr>
              <w:t>一</w:t>
            </w: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ascii="宋体" w:hAnsi="宋体" w:cs="Arial"/>
                <w:b w:val="0"/>
                <w:bCs/>
                <w:szCs w:val="28"/>
              </w:rPr>
            </w:pPr>
            <w:r>
              <w:rPr>
                <w:rFonts w:hint="eastAsia" w:ascii="宋体" w:hAnsi="宋体" w:cs="Arial"/>
                <w:b w:val="0"/>
                <w:bCs/>
                <w:szCs w:val="28"/>
              </w:rPr>
              <w:t>二</w:t>
            </w: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ascii="宋体" w:hAnsi="宋体" w:cs="Arial"/>
                <w:b w:val="0"/>
                <w:bCs/>
                <w:szCs w:val="28"/>
              </w:rPr>
            </w:pPr>
            <w:r>
              <w:rPr>
                <w:rFonts w:ascii="宋体" w:hAnsi="宋体" w:cs="Arial"/>
                <w:b w:val="0"/>
                <w:bCs/>
                <w:szCs w:val="28"/>
              </w:rPr>
              <w:t>…</w:t>
            </w: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hAnsi="Arial" w:cs="Arial"/>
                <w:b w:val="0"/>
                <w:bCs/>
                <w:sz w:val="32"/>
                <w:szCs w:val="30"/>
              </w:rPr>
            </w:pPr>
            <w:r>
              <w:rPr>
                <w:rFonts w:ascii="宋体" w:hAnsi="宋体" w:cs="Arial"/>
                <w:b w:val="0"/>
                <w:bCs/>
                <w:szCs w:val="28"/>
              </w:rPr>
              <w:t>…</w:t>
            </w: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c>
          <w:tcPr>
            <w:tcW w:w="2892" w:type="dxa"/>
            <w:vAlign w:val="top"/>
          </w:tcPr>
          <w:p>
            <w:pPr>
              <w:pStyle w:val="2"/>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4"/>
        <w:rPr>
          <w:rFonts w:hint="eastAsia"/>
        </w:rPr>
      </w:pPr>
    </w:p>
    <w:tbl>
      <w:tblPr>
        <w:tblStyle w:val="15"/>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r>
              <w:rPr>
                <w:rFonts w:hint="eastAsia" w:ascii="宋体" w:hAnsi="宋体"/>
                <w:sz w:val="24"/>
                <w:szCs w:val="20"/>
                <w:lang w:val="en-US" w:eastAsia="zh-CN"/>
              </w:rPr>
              <w:t>3个月</w:t>
            </w:r>
            <w:r>
              <w:rPr>
                <w:rFonts w:hint="eastAsia" w:ascii="宋体" w:hAnsi="宋体"/>
                <w:sz w:val="24"/>
                <w:szCs w:val="20"/>
              </w:rPr>
              <w:t>）</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5"/>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投标总价为所投货物单价*预计年使用量的总价</w:t>
      </w:r>
    </w:p>
    <w:p>
      <w:pPr>
        <w:ind w:firstLine="1470" w:firstLineChars="700"/>
        <w:rPr>
          <w:dstrike/>
        </w:rPr>
        <w:sectPr>
          <w:headerReference r:id="rId10" w:type="first"/>
          <w:headerReference r:id="rId8" w:type="default"/>
          <w:headerReference r:id="rId9" w:type="even"/>
          <w:pgSz w:w="16838" w:h="11906" w:orient="landscape"/>
          <w:pgMar w:top="1797" w:right="1440" w:bottom="1797" w:left="1440" w:header="851" w:footer="992" w:gutter="0"/>
          <w:cols w:space="720" w:num="1"/>
          <w:docGrid w:type="linesAndChars" w:linePitch="312" w:charSpace="0"/>
        </w:sect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2"/>
        <w:sectPr>
          <w:headerReference r:id="rId13" w:type="first"/>
          <w:headerReference r:id="rId11" w:type="default"/>
          <w:headerReference r:id="rId12" w:type="even"/>
          <w:pgSz w:w="16840" w:h="11907" w:orient="landscape"/>
          <w:pgMar w:top="1117" w:right="1440" w:bottom="1797" w:left="1440" w:header="720" w:footer="720" w:gutter="0"/>
          <w:cols w:space="720" w:num="1"/>
          <w:titlePg/>
        </w:sectPr>
      </w:pPr>
    </w:p>
    <w:p>
      <w:pPr>
        <w:pStyle w:val="2"/>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5"/>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5"/>
        <w:rPr>
          <w:szCs w:val="24"/>
        </w:rPr>
      </w:pPr>
    </w:p>
    <w:p>
      <w:pPr>
        <w:pStyle w:val="7"/>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5"/>
      </w:pPr>
    </w:p>
    <w:p>
      <w:pPr>
        <w:pStyle w:val="5"/>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7"/>
        <w:rPr>
          <w:rFonts w:hint="eastAsia" w:ascii="宋体" w:eastAsia="宋体"/>
          <w:sz w:val="24"/>
        </w:rPr>
      </w:pPr>
    </w:p>
    <w:p>
      <w:pPr>
        <w:pStyle w:val="7"/>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7"/>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7"/>
        <w:rPr>
          <w:rFonts w:ascii="宋体" w:eastAsia="宋体"/>
          <w:b/>
          <w:sz w:val="24"/>
        </w:rPr>
      </w:pPr>
      <w:r>
        <w:rPr>
          <w:rFonts w:hint="eastAsia" w:ascii="宋体" w:eastAsia="宋体"/>
          <w:b/>
          <w:sz w:val="24"/>
        </w:rPr>
        <w:t>3、响应部分可后附详细说明及技术资料，并应注明投标文件中对应的页码范围。</w:t>
      </w:r>
    </w:p>
    <w:p>
      <w:pPr>
        <w:pStyle w:val="2"/>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5"/>
      </w:pPr>
    </w:p>
    <w:p>
      <w:pPr>
        <w:pStyle w:val="5"/>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2"/>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6"/>
        <w:spacing w:line="276" w:lineRule="auto"/>
        <w:rPr>
          <w:rFonts w:hint="eastAsia" w:hAnsi="宋体"/>
          <w:b/>
          <w:bCs/>
          <w:color w:val="000000"/>
          <w:sz w:val="24"/>
          <w:szCs w:val="24"/>
        </w:rPr>
      </w:pPr>
    </w:p>
    <w:p>
      <w:pPr>
        <w:pStyle w:val="6"/>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6"/>
        <w:spacing w:line="276" w:lineRule="auto"/>
        <w:rPr>
          <w:rFonts w:hAnsi="宋体"/>
          <w:color w:val="000000"/>
          <w:sz w:val="24"/>
          <w:szCs w:val="24"/>
        </w:rPr>
      </w:pPr>
    </w:p>
    <w:p>
      <w:pPr>
        <w:pStyle w:val="6"/>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6"/>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6"/>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4"/>
      </w:pPr>
      <w:r>
        <w:br w:type="page"/>
      </w:r>
      <w:bookmarkStart w:id="9" w:name="_Toc534809202"/>
      <w:r>
        <w:t>第五章 评标方法</w:t>
      </w:r>
      <w:bookmarkEnd w:id="9"/>
    </w:p>
    <w:p>
      <w:pPr>
        <w:jc w:val="center"/>
        <w:rPr>
          <w:rFonts w:hint="eastAsia" w:ascii="宋体" w:hAnsi="宋体" w:eastAsiaTheme="minorEastAsia" w:cstheme="minorBidi"/>
          <w:b w:val="0"/>
          <w:bCs/>
          <w:kern w:val="0"/>
          <w:sz w:val="24"/>
          <w:szCs w:val="24"/>
          <w:lang w:val="en-US" w:eastAsia="zh-CN" w:bidi="ar-SA"/>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cstheme="minorBidi"/>
          <w:b w:val="0"/>
          <w:bCs/>
          <w:kern w:val="0"/>
          <w:sz w:val="24"/>
          <w:szCs w:val="24"/>
          <w:lang w:val="en-US" w:eastAsia="zh-CN" w:bidi="ar-SA"/>
        </w:rPr>
        <w:t>多根针可吸收缝线</w:t>
      </w:r>
    </w:p>
    <w:p>
      <w:pPr>
        <w:jc w:val="center"/>
        <w:rPr>
          <w:rFonts w:hint="eastAsia" w:ascii="宋体" w:hAnsi="宋体"/>
          <w:bCs/>
          <w:color w:val="000000"/>
          <w:sz w:val="24"/>
          <w:lang w:val="en-US" w:eastAsia="zh-CN"/>
        </w:rPr>
      </w:pP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b/>
                <w:bCs/>
                <w:sz w:val="24"/>
                <w:szCs w:val="24"/>
              </w:rPr>
              <w:t>安徽省中西医结合医院</w:t>
            </w:r>
            <w:r>
              <w:rPr>
                <w:rFonts w:hint="eastAsia" w:ascii="宋体" w:hAnsi="宋体"/>
                <w:b/>
                <w:bCs/>
                <w:sz w:val="24"/>
                <w:szCs w:val="24"/>
                <w:lang w:eastAsia="zh-CN"/>
              </w:rPr>
              <w:t>采购</w:t>
            </w:r>
            <w:r>
              <w:rPr>
                <w:rFonts w:hint="eastAsia" w:ascii="宋体" w:hAnsi="宋体" w:cstheme="minorBidi"/>
                <w:b/>
                <w:kern w:val="0"/>
                <w:sz w:val="24"/>
                <w:szCs w:val="24"/>
                <w:lang w:val="en-US" w:eastAsia="zh-CN" w:bidi="ar-SA"/>
              </w:rPr>
              <w:t>医用一次性灌肠器</w:t>
            </w:r>
          </w:p>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8"/>
              <w:spacing w:line="360" w:lineRule="auto"/>
              <w:ind w:right="-10"/>
              <w:rPr>
                <w:rFonts w:ascii="宋体" w:hAnsi="宋体"/>
                <w:b/>
                <w:bCs/>
                <w:sz w:val="24"/>
              </w:rPr>
            </w:pPr>
            <w:r>
              <w:rPr>
                <w:rFonts w:hint="eastAsia" w:ascii="宋体" w:hAnsi="宋体"/>
                <w:b/>
                <w:bCs/>
                <w:sz w:val="24"/>
              </w:rPr>
              <w:t>注：</w:t>
            </w:r>
          </w:p>
          <w:p>
            <w:pPr>
              <w:pStyle w:val="8"/>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8"/>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5"/>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评审项目</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评分细则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分值</w:t>
            </w:r>
          </w:p>
          <w:p>
            <w:pPr>
              <w:jc w:val="center"/>
              <w:rPr>
                <w:rFonts w:ascii="宋体" w:hAnsi="宋体"/>
                <w:b/>
                <w:bCs/>
                <w:color w:val="auto"/>
                <w:sz w:val="24"/>
              </w:rPr>
            </w:pPr>
            <w:r>
              <w:rPr>
                <w:rFonts w:hint="eastAsia" w:ascii="宋体" w:hAnsi="宋体"/>
                <w:b/>
                <w:bCs/>
                <w:color w:val="auto"/>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技术参数</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投标人所投产品技术参数响应情况：一般参数出现一个负偏离，扣1分；</w:t>
            </w:r>
            <w:r>
              <w:rPr>
                <w:rFonts w:hint="eastAsia" w:ascii="宋体" w:hAnsi="宋体"/>
                <w:b/>
                <w:color w:val="auto"/>
                <w:sz w:val="24"/>
              </w:rPr>
              <w:t>带</w:t>
            </w:r>
            <w:r>
              <w:rPr>
                <w:rFonts w:ascii="宋体" w:hAnsi="宋体"/>
                <w:b/>
                <w:color w:val="auto"/>
                <w:sz w:val="24"/>
              </w:rPr>
              <w:t>*</w:t>
            </w:r>
            <w:r>
              <w:rPr>
                <w:rFonts w:hint="eastAsia" w:ascii="宋体" w:hAnsi="宋体"/>
                <w:b/>
                <w:color w:val="auto"/>
                <w:sz w:val="24"/>
              </w:rPr>
              <w:t>号</w:t>
            </w:r>
            <w:r>
              <w:rPr>
                <w:rFonts w:hint="eastAsia" w:ascii="宋体" w:hAnsi="宋体"/>
                <w:color w:val="auto"/>
                <w:sz w:val="24"/>
              </w:rPr>
              <w:t>（或★）参数每出现一个负偏离，扣</w:t>
            </w:r>
            <w:r>
              <w:rPr>
                <w:rFonts w:ascii="宋体" w:hAnsi="宋体"/>
                <w:color w:val="auto"/>
                <w:sz w:val="24"/>
              </w:rPr>
              <w:t>10</w:t>
            </w:r>
            <w:r>
              <w:rPr>
                <w:rFonts w:hint="eastAsia" w:ascii="宋体" w:hAnsi="宋体"/>
                <w:color w:val="auto"/>
                <w:sz w:val="24"/>
              </w:rPr>
              <w:t>分。满分</w:t>
            </w:r>
            <w:r>
              <w:rPr>
                <w:rFonts w:hint="eastAsia" w:ascii="宋体" w:hAnsi="宋体"/>
                <w:color w:val="auto"/>
                <w:sz w:val="24"/>
                <w:lang w:val="en-US" w:eastAsia="zh-CN"/>
              </w:rPr>
              <w:t>15</w:t>
            </w:r>
            <w:r>
              <w:rPr>
                <w:rFonts w:hint="eastAsia" w:ascii="宋体" w:hAnsi="宋体"/>
                <w:color w:val="auto"/>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ascii="宋体" w:hAnsi="宋体"/>
                <w:color w:val="auto"/>
                <w:sz w:val="24"/>
              </w:rPr>
              <w:t>0-</w:t>
            </w:r>
            <w:r>
              <w:rPr>
                <w:rFonts w:hint="eastAsia" w:ascii="宋体" w:hAnsi="宋体"/>
                <w:color w:val="auto"/>
                <w:sz w:val="24"/>
                <w:lang w:val="en-US" w:eastAsia="zh-CN"/>
              </w:rPr>
              <w:t>15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售后服务</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rPr>
                <w:rFonts w:ascii="宋体" w:hAnsi="宋体"/>
                <w:color w:val="auto"/>
                <w:sz w:val="24"/>
              </w:rPr>
            </w:pPr>
            <w:r>
              <w:rPr>
                <w:rFonts w:hint="eastAsia" w:ascii="宋体" w:hAnsi="宋体"/>
                <w:color w:val="auto"/>
                <w:sz w:val="24"/>
              </w:rPr>
              <w:t>1.具有较强的本地化服务能力，在安徽有常驻服务机构的得1</w:t>
            </w:r>
            <w:r>
              <w:rPr>
                <w:rFonts w:ascii="宋体" w:hAnsi="宋体"/>
                <w:color w:val="auto"/>
                <w:sz w:val="24"/>
              </w:rPr>
              <w:t>.5</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2.承诺接招标人通知供货及需求数量后</w:t>
            </w:r>
            <w:r>
              <w:rPr>
                <w:rFonts w:ascii="宋体" w:hAnsi="宋体"/>
                <w:color w:val="auto"/>
                <w:sz w:val="24"/>
              </w:rPr>
              <w:t>1</w:t>
            </w:r>
            <w:r>
              <w:rPr>
                <w:rFonts w:hint="eastAsia" w:ascii="宋体" w:hAnsi="宋体"/>
                <w:color w:val="auto"/>
                <w:sz w:val="24"/>
              </w:rPr>
              <w:t>小时内响应，</w:t>
            </w:r>
            <w:r>
              <w:rPr>
                <w:rFonts w:ascii="宋体" w:hAnsi="宋体"/>
                <w:color w:val="auto"/>
                <w:sz w:val="24"/>
              </w:rPr>
              <w:t>2</w:t>
            </w:r>
            <w:r>
              <w:rPr>
                <w:rFonts w:hint="eastAsia" w:ascii="宋体" w:hAnsi="宋体"/>
                <w:color w:val="auto"/>
                <w:sz w:val="24"/>
              </w:rPr>
              <w:t>小时内完成供货的，得1</w:t>
            </w:r>
            <w:r>
              <w:rPr>
                <w:rFonts w:ascii="宋体" w:hAnsi="宋体"/>
                <w:color w:val="auto"/>
                <w:sz w:val="24"/>
              </w:rPr>
              <w:t>.5</w:t>
            </w:r>
            <w:r>
              <w:rPr>
                <w:rFonts w:hint="eastAsia" w:ascii="宋体" w:hAnsi="宋体"/>
                <w:color w:val="auto"/>
                <w:sz w:val="24"/>
              </w:rPr>
              <w:t>分；提供承诺函，否则不得分。</w:t>
            </w:r>
          </w:p>
          <w:p>
            <w:pPr>
              <w:spacing w:after="120" w:afterLines="50"/>
              <w:rPr>
                <w:rFonts w:ascii="宋体" w:hAnsi="宋体"/>
                <w:color w:val="auto"/>
                <w:sz w:val="24"/>
              </w:rPr>
            </w:pPr>
            <w:r>
              <w:rPr>
                <w:rFonts w:hint="eastAsia" w:ascii="宋体" w:hAnsi="宋体"/>
                <w:color w:val="auto"/>
                <w:sz w:val="24"/>
              </w:rPr>
              <w:t>本项满分3分。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所投产品业绩分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2</w:t>
            </w:r>
            <w:r>
              <w:rPr>
                <w:rFonts w:ascii="宋体" w:hAnsi="宋体"/>
                <w:color w:val="auto"/>
                <w:sz w:val="24"/>
              </w:rPr>
              <w:t>01</w:t>
            </w:r>
            <w:r>
              <w:rPr>
                <w:rFonts w:hint="eastAsia" w:ascii="宋体" w:hAnsi="宋体"/>
                <w:color w:val="auto"/>
                <w:sz w:val="24"/>
                <w:lang w:val="en-US" w:eastAsia="zh-CN"/>
              </w:rPr>
              <w:t>9</w:t>
            </w:r>
            <w:r>
              <w:rPr>
                <w:rFonts w:ascii="宋体" w:hAnsi="宋体"/>
                <w:color w:val="auto"/>
                <w:sz w:val="24"/>
              </w:rPr>
              <w:t>年</w:t>
            </w:r>
            <w:r>
              <w:rPr>
                <w:rFonts w:hint="eastAsia" w:ascii="宋体" w:hAnsi="宋体"/>
                <w:color w:val="auto"/>
                <w:sz w:val="24"/>
              </w:rPr>
              <w:t>1</w:t>
            </w:r>
            <w:r>
              <w:rPr>
                <w:rFonts w:ascii="宋体" w:hAnsi="宋体"/>
                <w:color w:val="auto"/>
                <w:sz w:val="24"/>
              </w:rPr>
              <w:t>月1日以来</w:t>
            </w:r>
            <w:r>
              <w:rPr>
                <w:rFonts w:hint="eastAsia" w:ascii="宋体" w:hAnsi="宋体"/>
                <w:color w:val="auto"/>
                <w:sz w:val="24"/>
                <w:lang w:eastAsia="zh-CN"/>
              </w:rPr>
              <w:t>（</w:t>
            </w:r>
            <w:r>
              <w:rPr>
                <w:rFonts w:hint="eastAsia" w:ascii="宋体" w:hAnsi="宋体"/>
                <w:color w:val="auto"/>
                <w:sz w:val="24"/>
                <w:lang w:val="en-US" w:eastAsia="zh-CN"/>
              </w:rPr>
              <w:t>以合同签订时间为准</w:t>
            </w:r>
            <w:r>
              <w:rPr>
                <w:rFonts w:hint="eastAsia" w:ascii="宋体" w:hAnsi="宋体"/>
                <w:color w:val="auto"/>
                <w:sz w:val="24"/>
                <w:lang w:eastAsia="zh-CN"/>
              </w:rPr>
              <w:t>）</w:t>
            </w:r>
            <w:r>
              <w:rPr>
                <w:rFonts w:hint="eastAsia" w:ascii="宋体" w:hAnsi="宋体"/>
                <w:color w:val="auto"/>
                <w:sz w:val="24"/>
              </w:rPr>
              <w:t>的</w:t>
            </w:r>
            <w:r>
              <w:rPr>
                <w:rFonts w:hint="eastAsia" w:ascii="宋体" w:hAnsi="宋体" w:cs="宋体"/>
                <w:sz w:val="24"/>
                <w:highlight w:val="none"/>
                <w:lang w:val="en-US" w:eastAsia="zh-CN"/>
              </w:rPr>
              <w:t>招标文件第六章技术要求耗材名称（物资名称）具有其中任意一项标注“</w:t>
            </w:r>
            <w:r>
              <w:rPr>
                <w:rFonts w:hint="eastAsia" w:ascii="宋体" w:hAnsi="宋体"/>
                <w:szCs w:val="21"/>
                <w:highlight w:val="none"/>
              </w:rPr>
              <w:t>▲</w:t>
            </w:r>
            <w:r>
              <w:rPr>
                <w:rFonts w:hint="eastAsia" w:ascii="宋体" w:hAnsi="宋体" w:cs="宋体"/>
                <w:sz w:val="24"/>
                <w:highlight w:val="none"/>
                <w:lang w:val="en-US" w:eastAsia="zh-CN"/>
              </w:rPr>
              <w:t>”的</w:t>
            </w:r>
            <w:r>
              <w:rPr>
                <w:rFonts w:hint="eastAsia" w:ascii="宋体" w:hAnsi="宋体"/>
                <w:color w:val="auto"/>
                <w:sz w:val="24"/>
              </w:rPr>
              <w:t>同品牌项目的</w:t>
            </w:r>
            <w:r>
              <w:rPr>
                <w:rFonts w:ascii="宋体" w:hAnsi="宋体"/>
                <w:color w:val="auto"/>
                <w:sz w:val="24"/>
              </w:rPr>
              <w:t>销售业绩</w:t>
            </w:r>
            <w:r>
              <w:rPr>
                <w:rFonts w:hint="eastAsia" w:ascii="宋体" w:hAnsi="宋体"/>
                <w:color w:val="auto"/>
                <w:sz w:val="24"/>
              </w:rPr>
              <w:t>，每具有一份三级</w:t>
            </w:r>
            <w:r>
              <w:rPr>
                <w:rFonts w:hint="eastAsia" w:ascii="宋体" w:hAnsi="宋体"/>
                <w:color w:val="auto"/>
                <w:sz w:val="24"/>
                <w:lang w:val="en-US" w:eastAsia="zh-CN"/>
              </w:rPr>
              <w:t>及以上</w:t>
            </w:r>
            <w:r>
              <w:rPr>
                <w:rFonts w:hint="eastAsia" w:ascii="宋体" w:hAnsi="宋体"/>
                <w:color w:val="auto"/>
                <w:sz w:val="24"/>
              </w:rPr>
              <w:t>医院销售业绩的得2分；其它级别医院每份业绩得0</w:t>
            </w:r>
            <w:r>
              <w:rPr>
                <w:rFonts w:ascii="宋体" w:hAnsi="宋体"/>
                <w:color w:val="auto"/>
                <w:sz w:val="24"/>
              </w:rPr>
              <w:t>.5</w:t>
            </w:r>
            <w:r>
              <w:rPr>
                <w:rFonts w:hint="eastAsia" w:ascii="宋体" w:hAnsi="宋体"/>
                <w:color w:val="auto"/>
                <w:sz w:val="24"/>
              </w:rPr>
              <w:t>分。满分</w:t>
            </w:r>
            <w:r>
              <w:rPr>
                <w:rFonts w:ascii="宋体" w:hAnsi="宋体"/>
                <w:color w:val="auto"/>
                <w:sz w:val="24"/>
              </w:rPr>
              <w:t>1</w:t>
            </w:r>
            <w:r>
              <w:rPr>
                <w:rFonts w:hint="eastAsia" w:ascii="宋体" w:hAnsi="宋体"/>
                <w:color w:val="auto"/>
                <w:sz w:val="24"/>
              </w:rPr>
              <w:t>0分。</w:t>
            </w:r>
          </w:p>
          <w:p>
            <w:pPr>
              <w:rPr>
                <w:b/>
                <w:color w:val="auto"/>
                <w:sz w:val="24"/>
              </w:rPr>
            </w:pPr>
            <w:r>
              <w:rPr>
                <w:rFonts w:hint="eastAsia"/>
                <w:b/>
                <w:color w:val="auto"/>
                <w:sz w:val="24"/>
              </w:rPr>
              <w:t>备注：1、投标人须在投标文件中提供内容完整的合同复印件作为打分依据，不得遮挡、缺页，否则视为无效业绩合同。</w:t>
            </w:r>
          </w:p>
          <w:p>
            <w:pPr>
              <w:rPr>
                <w:rFonts w:ascii="宋体" w:hAnsi="宋体"/>
                <w:color w:val="auto"/>
                <w:sz w:val="24"/>
              </w:rPr>
            </w:pPr>
            <w:r>
              <w:rPr>
                <w:rFonts w:hint="eastAsia"/>
                <w:b/>
                <w:color w:val="auto"/>
                <w:sz w:val="24"/>
              </w:rPr>
              <w:t>2、</w:t>
            </w:r>
            <w:r>
              <w:rPr>
                <w:rFonts w:hint="eastAsia" w:ascii="宋体" w:hAnsi="宋体"/>
                <w:b/>
                <w:sz w:val="24"/>
                <w:lang w:val="en-US" w:eastAsia="zh-CN"/>
              </w:rPr>
              <w:t>为方便评审，建议投标人在业绩证明材料后附能证明医院等级的相关证明材料，如医院官网截图或医院出具的相关证明材料（加盖医院公章）或其他评标委员会认可的相关证明材料。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ascii="宋体" w:hAnsi="宋体"/>
                <w:color w:val="auto"/>
                <w:sz w:val="24"/>
              </w:rPr>
              <w:t>1</w:t>
            </w:r>
            <w:r>
              <w:rPr>
                <w:rFonts w:hint="eastAsia" w:ascii="宋体" w:hAnsi="宋体"/>
                <w:color w:val="auto"/>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样品</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需</w:t>
            </w:r>
            <w:r>
              <w:rPr>
                <w:rFonts w:hint="eastAsia" w:ascii="宋体" w:hAnsi="宋体"/>
                <w:color w:val="auto"/>
                <w:sz w:val="24"/>
              </w:rPr>
              <w:t>提供</w:t>
            </w:r>
            <w:r>
              <w:rPr>
                <w:rFonts w:hint="eastAsia" w:ascii="宋体" w:hAnsi="宋体"/>
                <w:color w:val="auto"/>
                <w:sz w:val="24"/>
                <w:lang w:val="en-US" w:eastAsia="zh-CN"/>
              </w:rPr>
              <w:t>所投产品</w:t>
            </w:r>
            <w:r>
              <w:rPr>
                <w:rFonts w:hint="eastAsia" w:ascii="宋体" w:hAnsi="宋体"/>
                <w:color w:val="auto"/>
                <w:sz w:val="24"/>
              </w:rPr>
              <w:t>样品</w:t>
            </w:r>
            <w:r>
              <w:rPr>
                <w:rFonts w:hint="eastAsia" w:ascii="宋体" w:hAnsi="宋体"/>
                <w:color w:val="auto"/>
                <w:sz w:val="24"/>
                <w:lang w:eastAsia="zh-CN"/>
              </w:rPr>
              <w:t>（</w:t>
            </w:r>
            <w:r>
              <w:rPr>
                <w:rFonts w:hint="eastAsia" w:ascii="宋体" w:hAnsi="宋体"/>
                <w:color w:val="auto"/>
                <w:sz w:val="24"/>
                <w:lang w:val="en-US" w:eastAsia="zh-CN"/>
              </w:rPr>
              <w:t>所投包次种类较多，可选择有代表性的递交</w:t>
            </w:r>
            <w:r>
              <w:rPr>
                <w:rFonts w:hint="eastAsia" w:ascii="宋体" w:hAnsi="宋体"/>
                <w:color w:val="auto"/>
                <w:sz w:val="24"/>
                <w:lang w:eastAsia="zh-CN"/>
              </w:rPr>
              <w:t>）</w:t>
            </w:r>
            <w:r>
              <w:rPr>
                <w:rFonts w:hint="eastAsia" w:ascii="宋体" w:hAnsi="宋体"/>
                <w:color w:val="auto"/>
                <w:sz w:val="24"/>
              </w:rPr>
              <w:t>，根据投标人所提供的样品的样式、质量、规格型号等进行综合评比，由评标委员会综合赋分。0-</w:t>
            </w:r>
            <w:r>
              <w:rPr>
                <w:rFonts w:hint="eastAsia" w:ascii="宋体" w:hAnsi="宋体"/>
                <w:color w:val="auto"/>
                <w:sz w:val="24"/>
                <w:lang w:val="en-US" w:eastAsia="zh-CN"/>
              </w:rPr>
              <w:t>25</w:t>
            </w:r>
            <w:r>
              <w:rPr>
                <w:rFonts w:hint="eastAsia" w:ascii="宋体" w:hAnsi="宋体"/>
                <w:color w:val="auto"/>
                <w:sz w:val="24"/>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25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宋体" w:hAnsi="宋体" w:eastAsia="宋体"/>
                <w:color w:val="auto"/>
                <w:sz w:val="24"/>
                <w:lang w:eastAsia="zh-CN"/>
              </w:rPr>
            </w:pPr>
            <w:r>
              <w:rPr>
                <w:rFonts w:hint="eastAsia" w:ascii="宋体" w:hAnsi="宋体"/>
                <w:color w:val="auto"/>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价格分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color w:val="auto"/>
                <w:sz w:val="24"/>
              </w:rPr>
            </w:pPr>
            <w:r>
              <w:rPr>
                <w:rFonts w:hint="eastAsia" w:ascii="宋体" w:hAnsi="宋体"/>
                <w:color w:val="auto"/>
                <w:sz w:val="24"/>
              </w:rPr>
              <w:t>投标报价得分＝（评标基准价/投标报价）×</w:t>
            </w:r>
            <w:r>
              <w:rPr>
                <w:rFonts w:hint="eastAsia" w:ascii="宋体" w:hAnsi="宋体"/>
                <w:color w:val="auto"/>
                <w:sz w:val="24"/>
                <w:lang w:val="en-US" w:eastAsia="zh-CN"/>
              </w:rPr>
              <w:t>4</w:t>
            </w:r>
            <w:r>
              <w:rPr>
                <w:rFonts w:hint="eastAsia" w:ascii="宋体" w:hAnsi="宋体"/>
                <w:color w:val="auto"/>
                <w:sz w:val="24"/>
              </w:rPr>
              <w:t>0％×100</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color w:val="auto"/>
                <w:sz w:val="24"/>
              </w:rPr>
            </w:pPr>
            <w:r>
              <w:rPr>
                <w:rFonts w:hint="eastAsia" w:ascii="宋体" w:hAnsi="宋体"/>
                <w:color w:val="auto"/>
                <w:sz w:val="24"/>
                <w:lang w:val="en-US" w:eastAsia="zh-CN"/>
              </w:rPr>
              <w:t>40</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b/>
                <w:bCs/>
                <w:color w:val="auto"/>
                <w:sz w:val="24"/>
              </w:rPr>
            </w:pPr>
            <w:r>
              <w:rPr>
                <w:rFonts w:hint="eastAsia" w:ascii="宋体" w:hAnsi="宋体"/>
                <w:b/>
                <w:bCs/>
                <w:color w:val="auto"/>
                <w:sz w:val="24"/>
              </w:rPr>
              <w:t>合</w:t>
            </w:r>
            <w:r>
              <w:rPr>
                <w:rFonts w:ascii="宋体" w:hAnsi="宋体"/>
                <w:b/>
                <w:bCs/>
                <w:color w:val="auto"/>
                <w:sz w:val="24"/>
              </w:rPr>
              <w:t xml:space="preserve">        </w:t>
            </w:r>
            <w:r>
              <w:rPr>
                <w:rFonts w:hint="eastAsia" w:ascii="宋体" w:hAnsi="宋体"/>
                <w:b/>
                <w:bCs/>
                <w:color w:val="auto"/>
                <w:sz w:val="24"/>
              </w:rPr>
              <w:t>计</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color w:val="auto"/>
                <w:sz w:val="24"/>
              </w:rPr>
            </w:pPr>
            <w:r>
              <w:rPr>
                <w:rFonts w:hint="eastAsia" w:ascii="宋体" w:hAnsi="宋体"/>
                <w:b/>
                <w:bCs/>
                <w:color w:val="auto"/>
                <w:sz w:val="24"/>
              </w:rPr>
              <w:t>100分</w:t>
            </w:r>
          </w:p>
        </w:tc>
      </w:tr>
    </w:tbl>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8"/>
        <w:spacing w:line="360" w:lineRule="auto"/>
        <w:ind w:right="-11"/>
        <w:rPr>
          <w:rFonts w:ascii="宋体" w:hAnsi="宋体"/>
          <w:sz w:val="24"/>
        </w:rPr>
      </w:pPr>
      <w:r>
        <w:rPr>
          <w:rFonts w:hint="eastAsia" w:ascii="宋体" w:hAnsi="宋体"/>
          <w:sz w:val="24"/>
        </w:rPr>
        <w:t>4、得分汇总</w:t>
      </w:r>
    </w:p>
    <w:p>
      <w:pPr>
        <w:pStyle w:val="8"/>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8"/>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8"/>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4"/>
        <w:rPr>
          <w:rFonts w:hint="eastAsia"/>
        </w:rPr>
      </w:pPr>
      <w:bookmarkStart w:id="10" w:name="_Toc534809203"/>
      <w:bookmarkStart w:id="11" w:name="_Toc283100314"/>
    </w:p>
    <w:p>
      <w:pPr>
        <w:pStyle w:val="4"/>
        <w:rPr>
          <w:rFonts w:hint="eastAsia"/>
        </w:rPr>
      </w:pPr>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p>
      <w:pPr>
        <w:jc w:val="left"/>
        <w:rPr>
          <w:b/>
          <w:color w:val="FF0000"/>
          <w:sz w:val="24"/>
        </w:rPr>
      </w:pPr>
    </w:p>
    <w:tbl>
      <w:tblPr>
        <w:tblStyle w:val="15"/>
        <w:tblpPr w:leftFromText="180" w:rightFromText="180" w:vertAnchor="page" w:horzAnchor="page" w:tblpX="1305" w:tblpY="7689"/>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833"/>
        <w:gridCol w:w="1225"/>
        <w:gridCol w:w="396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序号</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cs="Arial" w:eastAsiaTheme="minorEastAsia"/>
                <w:i w:val="0"/>
                <w:iCs w:val="0"/>
                <w:color w:val="000000"/>
                <w:sz w:val="24"/>
                <w:szCs w:val="24"/>
                <w:u w:val="none"/>
                <w:lang w:eastAsia="zh-CN"/>
              </w:rPr>
            </w:pPr>
            <w:r>
              <w:rPr>
                <w:rFonts w:hint="eastAsia" w:ascii="Arial" w:hAnsi="Arial" w:cs="Arial"/>
                <w:i w:val="0"/>
                <w:iCs w:val="0"/>
                <w:color w:val="000000"/>
                <w:sz w:val="24"/>
                <w:szCs w:val="24"/>
                <w:u w:val="none"/>
                <w:lang w:eastAsia="zh-CN"/>
              </w:rPr>
              <w:t>耗材名称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cs="Arial" w:eastAsiaTheme="minorEastAsia"/>
                <w:i w:val="0"/>
                <w:iCs w:val="0"/>
                <w:color w:val="000000"/>
                <w:sz w:val="24"/>
                <w:szCs w:val="24"/>
                <w:u w:val="none"/>
                <w:lang w:eastAsia="zh-CN"/>
              </w:rPr>
            </w:pPr>
            <w:r>
              <w:rPr>
                <w:rFonts w:hint="eastAsia" w:ascii="Arial" w:hAnsi="Arial" w:cs="Arial"/>
                <w:i w:val="0"/>
                <w:iCs w:val="0"/>
                <w:color w:val="000000"/>
                <w:sz w:val="24"/>
                <w:szCs w:val="24"/>
                <w:u w:val="none"/>
                <w:lang w:eastAsia="zh-CN"/>
              </w:rPr>
              <w:t>参考规格</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cs="Arial" w:eastAsiaTheme="minorEastAsia"/>
                <w:i w:val="0"/>
                <w:iCs w:val="0"/>
                <w:color w:val="000000"/>
                <w:sz w:val="24"/>
                <w:szCs w:val="24"/>
                <w:u w:val="none"/>
                <w:lang w:eastAsia="zh-CN"/>
              </w:rPr>
            </w:pPr>
            <w:r>
              <w:rPr>
                <w:rFonts w:hint="eastAsia" w:ascii="Arial" w:hAnsi="Arial" w:cs="Arial"/>
                <w:i w:val="0"/>
                <w:iCs w:val="0"/>
                <w:color w:val="000000"/>
                <w:sz w:val="24"/>
                <w:szCs w:val="24"/>
                <w:u w:val="none"/>
                <w:lang w:eastAsia="zh-CN"/>
              </w:rPr>
              <w:t>技术要求</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cs="Arial" w:eastAsiaTheme="minorEastAsia"/>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年预估量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cs="Arial" w:eastAsiaTheme="minorEastAsia"/>
                <w:i w:val="0"/>
                <w:iCs w:val="0"/>
                <w:color w:val="000000"/>
                <w:kern w:val="2"/>
                <w:sz w:val="24"/>
                <w:szCs w:val="24"/>
                <w:u w:val="none"/>
                <w:lang w:val="en-US" w:eastAsia="zh-CN" w:bidi="ar-SA"/>
              </w:rPr>
            </w:pPr>
            <w:r>
              <w:rPr>
                <w:rFonts w:hint="eastAsia" w:ascii="Arial" w:hAnsi="Arial" w:eastAsia="宋体" w:cs="Arial"/>
                <w:i w:val="0"/>
                <w:iCs w:val="0"/>
                <w:color w:val="000000"/>
                <w:kern w:val="0"/>
                <w:sz w:val="24"/>
                <w:szCs w:val="24"/>
                <w:u w:val="none"/>
                <w:lang w:val="en-US" w:eastAsia="zh-CN" w:bidi="ar"/>
              </w:rPr>
              <w:t>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eastAsiaTheme="minorEastAsia"/>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医用一次性灌肠器</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eastAsiaTheme="minorEastAsia"/>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 xml:space="preserve">120ml/支 </w:t>
            </w:r>
            <w:r>
              <w:rPr>
                <w:rFonts w:hint="eastAsia" w:ascii="Arial" w:hAnsi="Arial" w:eastAsia="宋体" w:cs="Arial"/>
                <w:i w:val="0"/>
                <w:iCs w:val="0"/>
                <w:color w:val="000000"/>
                <w:kern w:val="0"/>
                <w:sz w:val="24"/>
                <w:szCs w:val="24"/>
                <w:u w:val="none"/>
                <w:lang w:val="en-US" w:eastAsia="zh-CN" w:bidi="ar"/>
              </w:rPr>
              <w:t>，按毫升报价</w:t>
            </w:r>
            <w:r>
              <w:rPr>
                <w:rFonts w:hint="default" w:ascii="Arial" w:hAnsi="Arial" w:eastAsia="宋体" w:cs="Arial"/>
                <w:i w:val="0"/>
                <w:iCs w:val="0"/>
                <w:color w:val="000000"/>
                <w:kern w:val="0"/>
                <w:sz w:val="24"/>
                <w:szCs w:val="24"/>
                <w:u w:val="none"/>
                <w:lang w:val="en-US" w:eastAsia="zh-CN" w:bidi="ar"/>
              </w:rPr>
              <w:t xml:space="preserve">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Arial" w:hAnsi="Arial" w:eastAsia="宋体" w:cs="Arial"/>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Arial" w:hAnsi="Arial" w:eastAsia="宋体"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主要功能 ：供临床直肠镜检查和手术前的清洗灌肠用</w:t>
            </w:r>
            <w:r>
              <w:rPr>
                <w:rFonts w:hint="eastAsia" w:ascii="Arial" w:hAnsi="Arial" w:eastAsia="宋体" w:cs="Arial"/>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default" w:ascii="Arial" w:hAnsi="Arial" w:cs="Arial" w:eastAsiaTheme="minorEastAsia"/>
                <w:i w:val="0"/>
                <w:iCs w:val="0"/>
                <w:color w:val="000000"/>
                <w:kern w:val="2"/>
                <w:sz w:val="24"/>
                <w:szCs w:val="24"/>
                <w:u w:val="none"/>
                <w:lang w:val="en-US" w:eastAsia="zh-CN" w:bidi="ar-SA"/>
              </w:rPr>
            </w:pPr>
            <w:r>
              <w:rPr>
                <w:rFonts w:hint="eastAsia" w:ascii="Arial" w:hAnsi="Arial" w:eastAsia="宋体" w:cs="Arial"/>
                <w:i w:val="0"/>
                <w:iCs w:val="0"/>
                <w:color w:val="000000"/>
                <w:kern w:val="0"/>
                <w:sz w:val="24"/>
                <w:szCs w:val="24"/>
                <w:u w:val="none"/>
                <w:lang w:val="en-US" w:eastAsia="zh-CN" w:bidi="ar"/>
              </w:rPr>
              <w:t>2、</w:t>
            </w:r>
            <w:r>
              <w:rPr>
                <w:rFonts w:hint="default" w:ascii="Arial" w:hAnsi="Arial" w:eastAsia="宋体" w:cs="Arial"/>
                <w:i w:val="0"/>
                <w:iCs w:val="0"/>
                <w:color w:val="000000"/>
                <w:kern w:val="0"/>
                <w:sz w:val="24"/>
                <w:szCs w:val="24"/>
                <w:u w:val="none"/>
                <w:lang w:val="en-US" w:eastAsia="zh-CN" w:bidi="ar"/>
              </w:rPr>
              <w:t>主要</w:t>
            </w:r>
            <w:r>
              <w:rPr>
                <w:rFonts w:hint="eastAsia" w:ascii="Arial" w:hAnsi="Arial" w:eastAsia="宋体" w:cs="Arial"/>
                <w:i w:val="0"/>
                <w:iCs w:val="0"/>
                <w:color w:val="000000"/>
                <w:kern w:val="0"/>
                <w:sz w:val="24"/>
                <w:szCs w:val="24"/>
                <w:u w:val="none"/>
                <w:lang w:val="en-US" w:eastAsia="zh-CN" w:bidi="ar"/>
              </w:rPr>
              <w:t>参考</w:t>
            </w:r>
            <w:r>
              <w:rPr>
                <w:rFonts w:hint="default" w:ascii="Arial" w:hAnsi="Arial" w:eastAsia="宋体" w:cs="Arial"/>
                <w:i w:val="0"/>
                <w:iCs w:val="0"/>
                <w:color w:val="000000"/>
                <w:kern w:val="0"/>
                <w:sz w:val="24"/>
                <w:szCs w:val="24"/>
                <w:u w:val="none"/>
                <w:lang w:val="en-US" w:eastAsia="zh-CN" w:bidi="ar"/>
              </w:rPr>
              <w:t>材质：本品由储液囊、储液囊盖、导流管接头（内含不锈钢珠）、导流管组成。储液囊、储液囊盖、导流管接头由聚乙烯构成，导流管为聚氯乙烯构成</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20000ml</w:t>
            </w:r>
          </w:p>
        </w:tc>
      </w:tr>
    </w:tbl>
    <w:p>
      <w:pPr>
        <w:spacing w:line="360" w:lineRule="auto"/>
        <w:jc w:val="left"/>
        <w:rPr>
          <w:rFonts w:hint="eastAsia" w:ascii="宋体" w:hAnsi="宋体" w:cs="宋体"/>
          <w:b/>
          <w:sz w:val="28"/>
          <w:szCs w:val="28"/>
        </w:rPr>
      </w:pPr>
    </w:p>
    <w:p>
      <w:pPr>
        <w:spacing w:line="360" w:lineRule="auto"/>
        <w:jc w:val="left"/>
        <w:rPr>
          <w:rFonts w:hint="eastAsia" w:ascii="宋体" w:hAnsi="宋体" w:cs="宋体"/>
          <w:b w:val="0"/>
          <w:bCs/>
          <w:sz w:val="28"/>
          <w:szCs w:val="28"/>
        </w:rPr>
      </w:pPr>
    </w:p>
    <w:p>
      <w:pPr>
        <w:spacing w:line="360" w:lineRule="auto"/>
        <w:jc w:val="both"/>
        <w:rPr>
          <w:rFonts w:hint="eastAsia" w:ascii="宋体" w:hAnsi="宋体" w:cs="宋体"/>
          <w:b/>
          <w:sz w:val="28"/>
          <w:szCs w:val="28"/>
        </w:rPr>
      </w:pPr>
    </w:p>
    <w:p>
      <w:pPr>
        <w:spacing w:line="360" w:lineRule="auto"/>
        <w:jc w:val="center"/>
        <w:rPr>
          <w:rFonts w:hint="eastAsia" w:ascii="宋体" w:hAnsi="宋体" w:cs="宋体"/>
          <w:b/>
          <w:sz w:val="28"/>
          <w:szCs w:val="28"/>
        </w:rPr>
      </w:pPr>
    </w:p>
    <w:bookmarkEnd w:id="11"/>
    <w:p>
      <w:pPr>
        <w:spacing w:line="360" w:lineRule="auto"/>
        <w:jc w:val="center"/>
        <w:rPr>
          <w:rFonts w:hint="eastAsia" w:ascii="宋体" w:hAnsi="宋体" w:cs="宋体"/>
          <w:b/>
          <w:sz w:val="28"/>
          <w:szCs w:val="28"/>
        </w:rPr>
      </w:pPr>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4</w:t>
    </w:r>
    <w:r>
      <w:fldChar w:fldCharType="end"/>
    </w:r>
  </w:p>
  <w:p>
    <w:pPr>
      <w:pStyle w:val="11"/>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医用一次性灌肠器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285F3720"/>
    <w:rsid w:val="035C6341"/>
    <w:rsid w:val="03D91818"/>
    <w:rsid w:val="0AE50E90"/>
    <w:rsid w:val="0CBD111B"/>
    <w:rsid w:val="2127010B"/>
    <w:rsid w:val="223D3378"/>
    <w:rsid w:val="227C08C7"/>
    <w:rsid w:val="285F3720"/>
    <w:rsid w:val="38784AE7"/>
    <w:rsid w:val="3FB90C9C"/>
    <w:rsid w:val="432509D4"/>
    <w:rsid w:val="4D1A2C2C"/>
    <w:rsid w:val="5929573C"/>
    <w:rsid w:val="6C97205F"/>
    <w:rsid w:val="70FB6879"/>
    <w:rsid w:val="71B95584"/>
    <w:rsid w:val="77DF044B"/>
    <w:rsid w:val="7A2D5F81"/>
    <w:rsid w:val="7D08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5"/>
    <w:qFormat/>
    <w:uiPriority w:val="0"/>
    <w:pPr>
      <w:spacing w:before="340" w:after="331"/>
      <w:jc w:val="center"/>
      <w:outlineLvl w:val="0"/>
    </w:pPr>
    <w:rPr>
      <w:rFonts w:eastAsia="宋体"/>
      <w:b/>
      <w:sz w:val="32"/>
      <w:szCs w:val="24"/>
    </w:rPr>
  </w:style>
  <w:style w:type="paragraph" w:styleId="2">
    <w:name w:val="heading 2"/>
    <w:basedOn w:val="3"/>
    <w:next w:val="1"/>
    <w:unhideWhenUsed/>
    <w:qFormat/>
    <w:uiPriority w:val="0"/>
    <w:pPr>
      <w:spacing w:before="240"/>
      <w:jc w:val="center"/>
      <w:outlineLvl w:val="1"/>
    </w:pPr>
    <w:rPr>
      <w:rFonts w:eastAsia="宋体"/>
      <w:sz w:val="28"/>
      <w:szCs w:val="24"/>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5">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6">
    <w:name w:val="Normal Indent"/>
    <w:basedOn w:val="1"/>
    <w:qFormat/>
    <w:uiPriority w:val="0"/>
    <w:pPr>
      <w:ind w:firstLine="420"/>
    </w:pPr>
    <w:rPr>
      <w:szCs w:val="20"/>
    </w:rPr>
  </w:style>
  <w:style w:type="paragraph" w:styleId="7">
    <w:name w:val="Body Text"/>
    <w:basedOn w:val="5"/>
    <w:next w:val="5"/>
    <w:qFormat/>
    <w:uiPriority w:val="0"/>
    <w:rPr>
      <w:szCs w:val="24"/>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Arial" w:hAnsi="Arial" w:eastAsia="黑体"/>
      <w:sz w:val="24"/>
      <w:szCs w:val="21"/>
    </w:rPr>
  </w:style>
  <w:style w:type="paragraph" w:styleId="14">
    <w:name w:val="Body Text First Indent 2"/>
    <w:basedOn w:val="8"/>
    <w:next w:val="1"/>
    <w:qFormat/>
    <w:uiPriority w:val="0"/>
    <w:pPr>
      <w:spacing w:after="120"/>
      <w:ind w:left="420" w:leftChars="200" w:firstLine="420" w:firstLineChars="200"/>
    </w:pPr>
    <w:rPr>
      <w:sz w:val="21"/>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18641</Words>
  <Characters>19684</Characters>
  <Lines>0</Lines>
  <Paragraphs>0</Paragraphs>
  <TotalTime>19</TotalTime>
  <ScaleCrop>false</ScaleCrop>
  <LinksUpToDate>false</LinksUpToDate>
  <CharactersWithSpaces>20801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2022-07-26T07:25:00Z</dcterms:created>
  <dc:creator>Administrator</dc:creator>
  <cp:lastModifiedBy>Administrator</cp:lastModifiedBy>
  <dcterms:modified xsi:type="dcterms:W3CDTF">2022-12-06T07:30:43Z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1D0CB8496960418E8FB172C6C5001DB2</vt:lpwstr>
  </property>
</Properties>
</file>