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采购吞咽神经肌肉刺激仪</w:t>
      </w:r>
      <w:r>
        <w:rPr>
          <w:rFonts w:hint="eastAsia" w:ascii="宋体" w:hAnsi="宋体"/>
          <w:b/>
          <w:sz w:val="44"/>
          <w:szCs w:val="44"/>
          <w:lang w:val="en-US" w:eastAsia="zh-CN"/>
        </w:rPr>
        <w:t>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6</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采购吞咽神经肌肉刺激仪</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6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数量</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控制限价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rFonts w:hint="eastAsia"/>
                <w:sz w:val="24"/>
                <w:szCs w:val="24"/>
              </w:rPr>
              <w:t>吞咽神经肌肉刺激仪</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1台</w:t>
            </w:r>
          </w:p>
        </w:tc>
        <w:tc>
          <w:tcPr>
            <w:tcW w:w="1614"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c>
          <w:tcPr>
            <w:tcW w:w="2150" w:type="dxa"/>
            <w:tcBorders>
              <w:top w:val="single" w:color="auto" w:sz="4" w:space="0"/>
              <w:left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报价不超过5万元</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Theme="minorEastAsia"/>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6</w:t>
      </w:r>
      <w:r>
        <w:rPr>
          <w:rFonts w:hint="eastAsia" w:ascii="宋体"/>
          <w:sz w:val="24"/>
        </w:rPr>
        <w:t>月</w:t>
      </w:r>
      <w:r>
        <w:rPr>
          <w:rFonts w:hint="eastAsia" w:ascii="宋体"/>
          <w:sz w:val="24"/>
          <w:lang w:val="en-US" w:eastAsia="zh-CN"/>
        </w:rPr>
        <w:t>23</w:t>
      </w:r>
      <w:r>
        <w:rPr>
          <w:rFonts w:hint="eastAsia" w:ascii="宋体"/>
          <w:sz w:val="24"/>
        </w:rPr>
        <w:t>日</w:t>
      </w:r>
      <w:r>
        <w:rPr>
          <w:rFonts w:hint="eastAsia" w:ascii="宋体"/>
          <w:sz w:val="24"/>
          <w:lang w:eastAsia="zh-CN"/>
        </w:rPr>
        <w:t>上午</w:t>
      </w:r>
      <w:r>
        <w:rPr>
          <w:rFonts w:hint="eastAsia" w:ascii="宋体"/>
          <w:sz w:val="24"/>
          <w:lang w:val="en-US" w:eastAsia="zh-CN"/>
        </w:rPr>
        <w:t>9：:00分</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r>
        <w:rPr>
          <w:rFonts w:hint="eastAsia" w:ascii="宋体" w:hAnsi="宋体" w:cs="宋体"/>
          <w:kern w:val="0"/>
          <w:sz w:val="24"/>
          <w:lang w:val="en-US" w:bidi="zh-CN"/>
        </w:rPr>
        <w:t xml:space="preserve">    周主任</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50  62736601</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采购吞咽神经肌肉刺激仪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23</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bookmarkStart w:id="12" w:name="_GoBack"/>
            <w:bookmarkEnd w:id="12"/>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采购吞咽神经肌肉刺激仪项目的招标评标工作，保证项目评审工作的正常有序进行，维护采购人、投标人的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采购吞咽神经肌肉刺激仪</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bookmarkEnd w:id="11"/>
    <w:p>
      <w:pPr>
        <w:spacing w:line="440" w:lineRule="exact"/>
        <w:rPr>
          <w:rFonts w:hint="eastAsia"/>
          <w:b/>
          <w:sz w:val="28"/>
          <w:szCs w:val="28"/>
        </w:rPr>
      </w:pPr>
      <w:r>
        <w:rPr>
          <w:rFonts w:hint="eastAsia"/>
          <w:b/>
          <w:sz w:val="28"/>
          <w:szCs w:val="28"/>
        </w:rPr>
        <w:t>技术参数：</w:t>
      </w:r>
    </w:p>
    <w:p>
      <w:pPr>
        <w:spacing w:line="440" w:lineRule="exact"/>
        <w:ind w:left="566" w:hanging="565" w:hangingChars="202"/>
        <w:rPr>
          <w:rFonts w:hint="eastAsia"/>
          <w:sz w:val="28"/>
          <w:szCs w:val="28"/>
        </w:rPr>
      </w:pPr>
      <w:r>
        <w:rPr>
          <w:rFonts w:hint="eastAsia"/>
          <w:sz w:val="28"/>
          <w:szCs w:val="28"/>
        </w:rPr>
        <w:t>1、通道数量：四通道，八个电极，治疗强度可单独调节；</w:t>
      </w:r>
    </w:p>
    <w:p>
      <w:pPr>
        <w:spacing w:line="440" w:lineRule="exact"/>
        <w:ind w:left="566" w:hanging="565" w:hangingChars="202"/>
        <w:rPr>
          <w:rFonts w:hint="eastAsia"/>
          <w:sz w:val="28"/>
          <w:szCs w:val="28"/>
        </w:rPr>
      </w:pPr>
      <w:r>
        <w:rPr>
          <w:rFonts w:hint="eastAsia"/>
          <w:sz w:val="28"/>
          <w:szCs w:val="28"/>
        </w:rPr>
        <w:t>2、★设备包含：TENS经皮神经电刺激、NMES神经肌肉电刺激、微电流、失神经电流</w:t>
      </w:r>
    </w:p>
    <w:p>
      <w:pPr>
        <w:spacing w:line="440" w:lineRule="exact"/>
        <w:ind w:left="566" w:hanging="565" w:hangingChars="202"/>
        <w:rPr>
          <w:rFonts w:hint="eastAsia"/>
          <w:sz w:val="28"/>
          <w:szCs w:val="28"/>
        </w:rPr>
      </w:pPr>
      <w:r>
        <w:rPr>
          <w:rFonts w:hint="eastAsia"/>
          <w:sz w:val="28"/>
          <w:szCs w:val="28"/>
        </w:rPr>
        <w:t>3、电流类型：双相对称方波、双相不对称方波、单相方波、三角波、</w:t>
      </w:r>
    </w:p>
    <w:p>
      <w:pPr>
        <w:spacing w:line="440" w:lineRule="exact"/>
        <w:ind w:left="566" w:hanging="565" w:hangingChars="202"/>
        <w:rPr>
          <w:rFonts w:hint="eastAsia"/>
          <w:sz w:val="28"/>
          <w:szCs w:val="28"/>
        </w:rPr>
      </w:pPr>
      <w:r>
        <w:rPr>
          <w:rFonts w:hint="eastAsia"/>
          <w:sz w:val="28"/>
          <w:szCs w:val="28"/>
        </w:rPr>
        <w:t>4、★输出及调制模式：连续输出，间歇输出、脉宽调制、频率调制、爆发式输出</w:t>
      </w:r>
    </w:p>
    <w:p>
      <w:pPr>
        <w:spacing w:line="440" w:lineRule="exact"/>
        <w:ind w:left="566" w:hanging="565" w:hangingChars="202"/>
        <w:rPr>
          <w:rFonts w:hint="eastAsia"/>
          <w:sz w:val="28"/>
          <w:szCs w:val="28"/>
        </w:rPr>
      </w:pPr>
      <w:r>
        <w:rPr>
          <w:rFonts w:hint="eastAsia"/>
          <w:sz w:val="28"/>
          <w:szCs w:val="28"/>
        </w:rPr>
        <w:t>5、电流强度：0-120mA，步进1mA</w:t>
      </w:r>
    </w:p>
    <w:p>
      <w:pPr>
        <w:spacing w:line="440" w:lineRule="exact"/>
        <w:ind w:left="566" w:hanging="565" w:hangingChars="202"/>
        <w:rPr>
          <w:rFonts w:hint="eastAsia"/>
          <w:sz w:val="28"/>
          <w:szCs w:val="28"/>
        </w:rPr>
      </w:pPr>
      <w:r>
        <w:rPr>
          <w:rFonts w:hint="eastAsia"/>
          <w:sz w:val="28"/>
          <w:szCs w:val="28"/>
        </w:rPr>
        <w:t>6、输出频率：0.3-150Hz，步进1Hz</w:t>
      </w:r>
    </w:p>
    <w:p>
      <w:pPr>
        <w:spacing w:line="440" w:lineRule="exact"/>
        <w:ind w:left="566" w:hanging="565" w:hangingChars="202"/>
        <w:rPr>
          <w:rFonts w:hint="eastAsia"/>
          <w:sz w:val="28"/>
          <w:szCs w:val="28"/>
        </w:rPr>
      </w:pPr>
      <w:r>
        <w:rPr>
          <w:rFonts w:hint="eastAsia"/>
          <w:sz w:val="28"/>
          <w:szCs w:val="28"/>
        </w:rPr>
        <w:t>7、输出脉宽：40-450μs，步进10μs</w:t>
      </w:r>
    </w:p>
    <w:p>
      <w:pPr>
        <w:spacing w:line="440" w:lineRule="exact"/>
        <w:ind w:left="566" w:hanging="565" w:hangingChars="202"/>
        <w:rPr>
          <w:rFonts w:hint="eastAsia"/>
          <w:sz w:val="28"/>
          <w:szCs w:val="28"/>
        </w:rPr>
      </w:pPr>
      <w:r>
        <w:rPr>
          <w:rFonts w:hint="eastAsia"/>
          <w:sz w:val="28"/>
          <w:szCs w:val="28"/>
        </w:rPr>
        <w:t>8、电流上升、下降时间：0-5000ms，步进100ms</w:t>
      </w:r>
    </w:p>
    <w:p>
      <w:pPr>
        <w:spacing w:line="440" w:lineRule="exact"/>
        <w:ind w:left="566" w:hanging="565" w:hangingChars="202"/>
        <w:rPr>
          <w:rFonts w:hint="eastAsia"/>
          <w:sz w:val="28"/>
          <w:szCs w:val="28"/>
        </w:rPr>
      </w:pPr>
      <w:r>
        <w:rPr>
          <w:rFonts w:hint="eastAsia"/>
          <w:sz w:val="28"/>
          <w:szCs w:val="28"/>
        </w:rPr>
        <w:t>9、脉冲持续时间：2-60s，步进1s</w:t>
      </w:r>
    </w:p>
    <w:p>
      <w:pPr>
        <w:spacing w:line="440" w:lineRule="exact"/>
        <w:ind w:left="566" w:hanging="565" w:hangingChars="202"/>
        <w:rPr>
          <w:rFonts w:hint="eastAsia"/>
          <w:sz w:val="28"/>
          <w:szCs w:val="28"/>
        </w:rPr>
      </w:pPr>
      <w:r>
        <w:rPr>
          <w:rFonts w:hint="eastAsia"/>
          <w:sz w:val="28"/>
          <w:szCs w:val="28"/>
        </w:rPr>
        <w:t>10、便携手持式主机，使用交流电电源或者可重复充电电池供电，中文操作界面。</w:t>
      </w:r>
    </w:p>
    <w:p>
      <w:pPr>
        <w:spacing w:line="440" w:lineRule="exact"/>
        <w:ind w:left="566" w:hanging="565" w:hangingChars="202"/>
        <w:rPr>
          <w:rFonts w:hint="eastAsia" w:eastAsiaTheme="minorEastAsia"/>
          <w:sz w:val="28"/>
          <w:szCs w:val="28"/>
          <w:lang w:val="en-US" w:eastAsia="zh-CN"/>
        </w:rPr>
      </w:pPr>
      <w:r>
        <w:rPr>
          <w:rFonts w:hint="eastAsia"/>
          <w:sz w:val="28"/>
          <w:szCs w:val="28"/>
        </w:rPr>
        <w:t>11、★2+2模式，四通道可独立控制并两两输出不同的电流。能同时治疗多个不同病症的患者</w:t>
      </w:r>
      <w:r>
        <w:rPr>
          <w:rFonts w:hint="eastAsia"/>
          <w:sz w:val="28"/>
          <w:szCs w:val="28"/>
          <w:lang w:eastAsia="zh-CN"/>
        </w:rPr>
        <w:t>。</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、治疗处方：</w:t>
      </w:r>
      <w:r>
        <w:rPr>
          <w:rFonts w:hint="default" w:ascii="Arial" w:hAnsi="Arial" w:cs="Arial"/>
          <w:sz w:val="28"/>
          <w:szCs w:val="28"/>
        </w:rPr>
        <w:t>≥</w:t>
      </w:r>
      <w:r>
        <w:rPr>
          <w:rFonts w:hint="eastAsia"/>
          <w:sz w:val="28"/>
          <w:szCs w:val="28"/>
        </w:rPr>
        <w:t>414个临床处方</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、所有处方均可在治疗时调节频率、脉宽、治疗时间等参数均可进行针对性调节</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4</w:t>
      </w:r>
      <w:r>
        <w:rPr>
          <w:rFonts w:hint="eastAsia"/>
          <w:sz w:val="28"/>
          <w:szCs w:val="28"/>
        </w:rPr>
        <w:t>、近期使用的</w:t>
      </w:r>
      <w:r>
        <w:rPr>
          <w:rFonts w:hint="default" w:ascii="Arial" w:hAnsi="Arial" w:cs="Arial"/>
          <w:sz w:val="28"/>
          <w:szCs w:val="28"/>
        </w:rPr>
        <w:t>≥</w:t>
      </w:r>
      <w:r>
        <w:rPr>
          <w:rFonts w:hint="eastAsia"/>
          <w:sz w:val="28"/>
          <w:szCs w:val="28"/>
        </w:rPr>
        <w:t>10个处方可便捷调用，且自动记录上次治疗强度大小，可直接使用</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5</w:t>
      </w:r>
      <w:r>
        <w:rPr>
          <w:rFonts w:hint="eastAsia"/>
          <w:sz w:val="28"/>
          <w:szCs w:val="28"/>
        </w:rPr>
        <w:t>、★具有处方治疗图示功能，明确电极放置位置，精确治疗且具有示教作用</w:t>
      </w:r>
    </w:p>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吞咽神经肌肉刺激仪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Tg1MGVkZWIyNTVjNjNiMzc2YTI2NWNmOTNkYjAifQ=="/>
  </w:docVars>
  <w:rsids>
    <w:rsidRoot w:val="06764F6E"/>
    <w:rsid w:val="04075BF9"/>
    <w:rsid w:val="0626059B"/>
    <w:rsid w:val="06764F6E"/>
    <w:rsid w:val="0A8177E8"/>
    <w:rsid w:val="0DC9302A"/>
    <w:rsid w:val="12AE34EF"/>
    <w:rsid w:val="130B026A"/>
    <w:rsid w:val="143D3CEA"/>
    <w:rsid w:val="14E57F74"/>
    <w:rsid w:val="1A585D84"/>
    <w:rsid w:val="1AE51ED0"/>
    <w:rsid w:val="1C251ECE"/>
    <w:rsid w:val="21B473FD"/>
    <w:rsid w:val="22AC742E"/>
    <w:rsid w:val="22BE677B"/>
    <w:rsid w:val="252E086C"/>
    <w:rsid w:val="2A7F700E"/>
    <w:rsid w:val="2D237875"/>
    <w:rsid w:val="2EF016B8"/>
    <w:rsid w:val="306D3EB3"/>
    <w:rsid w:val="32295A7A"/>
    <w:rsid w:val="32BD42AA"/>
    <w:rsid w:val="33433B0E"/>
    <w:rsid w:val="33665BCA"/>
    <w:rsid w:val="35B1184E"/>
    <w:rsid w:val="370E263C"/>
    <w:rsid w:val="37E66896"/>
    <w:rsid w:val="392C0B65"/>
    <w:rsid w:val="39E7580C"/>
    <w:rsid w:val="3B860EB9"/>
    <w:rsid w:val="3C47085E"/>
    <w:rsid w:val="3D033BFB"/>
    <w:rsid w:val="3EE71E7F"/>
    <w:rsid w:val="3EFF0EF0"/>
    <w:rsid w:val="41005276"/>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0B44FB7"/>
    <w:rsid w:val="633A6E25"/>
    <w:rsid w:val="643F1F34"/>
    <w:rsid w:val="65982DA0"/>
    <w:rsid w:val="65FE48E6"/>
    <w:rsid w:val="6A2C5B48"/>
    <w:rsid w:val="6D571B80"/>
    <w:rsid w:val="6F833413"/>
    <w:rsid w:val="736E51D0"/>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18656</Words>
  <Characters>19736</Characters>
  <Lines>0</Lines>
  <Paragraphs>0</Paragraphs>
  <TotalTime>6</TotalTime>
  <ScaleCrop>false</ScaleCrop>
  <LinksUpToDate>false</LinksUpToDate>
  <CharactersWithSpaces>20588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周少</cp:lastModifiedBy>
  <dcterms:modified xsi:type="dcterms:W3CDTF">2022-06-17T01:13:16Z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2A69F072495746F4A0156EA4FF36C5AE</vt:lpwstr>
  </property>
</Properties>
</file>