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val="en-US" w:eastAsia="zh-CN"/>
        </w:rPr>
        <w:t>临采一次性使用手术衣项目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4"/>
      <w:bookmarkEnd w:id="0"/>
      <w:bookmarkStart w:id="1" w:name="_Hlt534831145"/>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宋体"/>
          <w:b/>
          <w:sz w:val="24"/>
          <w:lang w:val="en-US" w:eastAsia="zh-CN"/>
        </w:rPr>
        <w:t>一次性使用手术衣</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5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规格</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rFonts w:hint="eastAsia" w:ascii="宋体" w:hAnsi="宋体" w:eastAsia="宋体" w:cs="宋体"/>
                <w:color w:val="333333"/>
                <w:sz w:val="24"/>
                <w:szCs w:val="24"/>
                <w:highlight w:val="none"/>
                <w:lang w:val="en-US" w:eastAsia="zh-CN"/>
              </w:rPr>
              <w:t>一次性使用手术衣</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M/L/XL/XXL</w:t>
            </w:r>
          </w:p>
        </w:tc>
        <w:tc>
          <w:tcPr>
            <w:tcW w:w="1882"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18</w:t>
      </w:r>
      <w:r>
        <w:rPr>
          <w:rFonts w:hint="eastAsia" w:ascii="宋体"/>
          <w:sz w:val="24"/>
        </w:rPr>
        <w:t>日</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采购一次性使用手术衣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18</w:t>
            </w:r>
            <w:bookmarkStart w:id="12" w:name="_GoBack"/>
            <w:bookmarkEnd w:id="12"/>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bCs/>
          <w:color w:val="000000"/>
          <w:sz w:val="24"/>
          <w:lang w:val="en-US" w:eastAsia="zh-CN"/>
        </w:rPr>
        <w:t>一次性使用手术衣</w:t>
      </w:r>
      <w:r>
        <w:rPr>
          <w:rFonts w:hint="eastAsia" w:ascii="宋体" w:hAnsi="宋体"/>
          <w:bCs/>
          <w:color w:val="000000"/>
          <w:sz w:val="24"/>
          <w:lang w:eastAsia="zh-CN"/>
        </w:rPr>
        <w:t>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w:t>
            </w:r>
            <w:r>
              <w:rPr>
                <w:rFonts w:hint="eastAsia" w:ascii="宋体" w:hAnsi="宋体" w:cstheme="minorBidi"/>
                <w:b/>
                <w:kern w:val="0"/>
                <w:sz w:val="24"/>
                <w:szCs w:val="20"/>
                <w:lang w:val="en-US" w:eastAsia="zh-CN" w:bidi="ar-SA"/>
              </w:rPr>
              <w:t>一次性使用手术衣</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eastAsiaTheme="minorEastAsia"/>
          <w:b/>
          <w:sz w:val="28"/>
          <w:szCs w:val="28"/>
          <w:lang w:val="en-US" w:eastAsia="zh-CN"/>
        </w:rPr>
      </w:pPr>
      <w:r>
        <w:rPr>
          <w:rFonts w:hint="eastAsia" w:ascii="宋体" w:hAnsi="宋体" w:cs="宋体"/>
          <w:b/>
          <w:sz w:val="28"/>
          <w:szCs w:val="28"/>
          <w:lang w:val="en-US" w:eastAsia="zh-CN"/>
        </w:rPr>
        <w:t>一次性使用手术衣技术要求</w:t>
      </w:r>
    </w:p>
    <w:bookmarkEnd w:id="11"/>
    <w:p>
      <w:pPr>
        <w:rPr>
          <w:rFonts w:hint="eastAsia" w:eastAsiaTheme="minorEastAsia"/>
          <w:lang w:val="en-US" w:eastAsia="zh-CN"/>
        </w:rPr>
      </w:pPr>
    </w:p>
    <w:p>
      <w:pPr>
        <w:widowControl/>
        <w:numPr>
          <w:ilvl w:val="0"/>
          <w:numId w:val="5"/>
        </w:numPr>
        <w:adjustRightInd/>
        <w:spacing w:line="240" w:lineRule="auto"/>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标准性能手术衣由SMS无纺布或水刺无纺布制作而成</w:t>
      </w:r>
      <w:r>
        <w:rPr>
          <w:rFonts w:hint="eastAsia" w:ascii="宋体" w:hAnsi="宋体" w:eastAsia="宋体" w:cs="宋体"/>
          <w:i w:val="0"/>
          <w:iCs w:val="0"/>
          <w:color w:val="000000"/>
          <w:sz w:val="24"/>
          <w:szCs w:val="24"/>
          <w:u w:val="none"/>
          <w:lang w:eastAsia="zh-CN"/>
        </w:rPr>
        <w:t>，袖口处有橡筋，背为全开口由布带扎紧。</w:t>
      </w:r>
    </w:p>
    <w:p>
      <w:pPr>
        <w:widowControl/>
        <w:numPr>
          <w:ilvl w:val="0"/>
          <w:numId w:val="5"/>
        </w:numPr>
        <w:adjustRightInd/>
        <w:spacing w:line="240" w:lineRule="auto"/>
        <w:ind w:left="0" w:leftChars="0" w:firstLine="0" w:firstLineChars="0"/>
        <w:jc w:val="both"/>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环氧乙烷灭菌包装，防液体飞溅、透气、舒适、抗静电。</w:t>
      </w:r>
    </w:p>
    <w:p>
      <w:pPr>
        <w:pStyle w:val="2"/>
        <w:numPr>
          <w:ilvl w:val="0"/>
          <w:numId w:val="5"/>
        </w:numPr>
        <w:ind w:left="0" w:leftChars="0" w:firstLine="0" w:firstLineChars="0"/>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可以渗透空气、水蒸气，却能够将水基液体及浮质排斥在外。</w:t>
      </w:r>
    </w:p>
    <w:p>
      <w:pP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★4、通过血液和衍生病毒穿透试验，证明可以预防体液、血液和血生病原体的入侵。</w:t>
      </w:r>
    </w:p>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一次性使用手术衣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4F01D"/>
    <w:multiLevelType w:val="singleLevel"/>
    <w:tmpl w:val="B9F4F01D"/>
    <w:lvl w:ilvl="0" w:tentative="0">
      <w:start w:val="1"/>
      <w:numFmt w:val="decimal"/>
      <w:suff w:val="space"/>
      <w:lvlText w:val="%1."/>
      <w:lvlJc w:val="left"/>
    </w:lvl>
  </w:abstractNum>
  <w:abstractNum w:abstractNumId="1">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4">
    <w:nsid w:val="6111E2DD"/>
    <w:multiLevelType w:val="singleLevel"/>
    <w:tmpl w:val="6111E2DD"/>
    <w:lvl w:ilvl="0" w:tentative="0">
      <w:start w:val="2"/>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626059B"/>
    <w:rsid w:val="06764F6E"/>
    <w:rsid w:val="0A8177E8"/>
    <w:rsid w:val="0DC9302A"/>
    <w:rsid w:val="12AE34EF"/>
    <w:rsid w:val="130B026A"/>
    <w:rsid w:val="143D3CEA"/>
    <w:rsid w:val="14E57F74"/>
    <w:rsid w:val="18474E62"/>
    <w:rsid w:val="1A585D84"/>
    <w:rsid w:val="1AE51ED0"/>
    <w:rsid w:val="1C251ECE"/>
    <w:rsid w:val="21B473FD"/>
    <w:rsid w:val="22AC742E"/>
    <w:rsid w:val="22BE677B"/>
    <w:rsid w:val="252E086C"/>
    <w:rsid w:val="2A7F700E"/>
    <w:rsid w:val="2EF016B8"/>
    <w:rsid w:val="306D3EB3"/>
    <w:rsid w:val="32295A7A"/>
    <w:rsid w:val="32BD42AA"/>
    <w:rsid w:val="33433B0E"/>
    <w:rsid w:val="33665BCA"/>
    <w:rsid w:val="35B1184E"/>
    <w:rsid w:val="370E263C"/>
    <w:rsid w:val="37E66896"/>
    <w:rsid w:val="392C0B65"/>
    <w:rsid w:val="39E7580C"/>
    <w:rsid w:val="3B860EB9"/>
    <w:rsid w:val="3C47085E"/>
    <w:rsid w:val="3D033BFB"/>
    <w:rsid w:val="3EE71E7F"/>
    <w:rsid w:val="3EFF0EF0"/>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A2C5B48"/>
    <w:rsid w:val="6D571B80"/>
    <w:rsid w:val="6F833413"/>
    <w:rsid w:val="78682DC3"/>
    <w:rsid w:val="7AA95D82"/>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2022-04-13T02:16:51Z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