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pPr>
    </w:p>
    <w:p>
      <w:pPr>
        <w:pStyle w:val="3"/>
        <w:rPr>
          <w:rFonts w:ascii="Times New Roman"/>
        </w:rPr>
      </w:pPr>
    </w:p>
    <w:p>
      <w:pPr>
        <w:pStyle w:val="3"/>
        <w:rPr>
          <w:rFonts w:ascii="Times New Roman"/>
        </w:rPr>
      </w:pPr>
    </w:p>
    <w:p>
      <w:pPr>
        <w:pStyle w:val="3"/>
        <w:rPr>
          <w:rFonts w:ascii="Times New Roman"/>
        </w:rPr>
      </w:pPr>
    </w:p>
    <w:p>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安徽省中西医结合医院</w:t>
      </w:r>
    </w:p>
    <w:p>
      <w:pPr>
        <w:spacing w:line="360" w:lineRule="auto"/>
        <w:jc w:val="center"/>
        <w:rPr>
          <w:rFonts w:hint="eastAsia" w:ascii="宋体" w:hAnsi="宋体"/>
          <w:b/>
          <w:color w:val="auto"/>
          <w:sz w:val="44"/>
          <w:szCs w:val="44"/>
        </w:rPr>
      </w:pPr>
      <w:r>
        <w:rPr>
          <w:rFonts w:hint="eastAsia" w:ascii="宋体" w:hAnsi="宋体"/>
          <w:b/>
          <w:color w:val="auto"/>
          <w:sz w:val="44"/>
          <w:szCs w:val="44"/>
          <w:lang w:eastAsia="zh-CN"/>
        </w:rPr>
        <w:t>采购PCR实验室试剂项目</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招标文件</w:t>
      </w:r>
    </w:p>
    <w:p>
      <w:pPr>
        <w:jc w:val="center"/>
        <w:rPr>
          <w:rFonts w:ascii="宋体" w:hAnsi="宋体"/>
          <w:b/>
          <w:sz w:val="44"/>
          <w:szCs w:val="44"/>
        </w:rPr>
      </w:pPr>
    </w:p>
    <w:p>
      <w:pPr>
        <w:jc w:val="center"/>
        <w:rPr>
          <w:rFonts w:hint="eastAsia" w:eastAsia="黑体"/>
          <w:sz w:val="72"/>
        </w:rPr>
      </w:pPr>
    </w:p>
    <w:p>
      <w:pPr>
        <w:jc w:val="both"/>
        <w:rPr>
          <w:rFonts w:ascii="Times New Roman" w:hAnsi="Times New Roman" w:eastAsia="黑体" w:cs="Times New Roman"/>
          <w:sz w:val="44"/>
        </w:rPr>
      </w:pPr>
    </w:p>
    <w:p>
      <w:pPr>
        <w:jc w:val="center"/>
      </w:pPr>
    </w:p>
    <w:p/>
    <w:p>
      <w:pPr>
        <w:ind w:firstLine="1272" w:firstLineChars="396"/>
        <w:rPr>
          <w:rFonts w:hint="eastAsia" w:ascii="宋体" w:hAnsi="宋体" w:eastAsia="宋体"/>
          <w:b/>
          <w:sz w:val="32"/>
          <w:szCs w:val="32"/>
          <w:lang w:eastAsia="zh-CN"/>
        </w:rPr>
      </w:pPr>
      <w:r>
        <w:rPr>
          <w:rFonts w:hint="eastAsia" w:ascii="宋体" w:hAnsi="宋体"/>
          <w:b/>
          <w:sz w:val="32"/>
          <w:szCs w:val="32"/>
        </w:rPr>
        <w:t>招   标  人：</w:t>
      </w:r>
      <w:r>
        <w:rPr>
          <w:rFonts w:hint="eastAsia" w:ascii="宋体" w:hAnsi="宋体"/>
          <w:b/>
          <w:sz w:val="32"/>
          <w:szCs w:val="32"/>
          <w:lang w:eastAsia="zh-CN"/>
        </w:rPr>
        <w:t>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lang w:eastAsia="zh-CN"/>
        </w:rPr>
      </w:pPr>
      <w:r>
        <w:rPr>
          <w:rFonts w:hint="eastAsia" w:ascii="宋体" w:hAnsi="宋体" w:eastAsia="宋体" w:cs="宋体"/>
          <w:b/>
          <w:sz w:val="36"/>
          <w:szCs w:val="36"/>
          <w:lang w:eastAsia="zh-CN"/>
        </w:rPr>
        <w:t>202</w:t>
      </w:r>
      <w:r>
        <w:rPr>
          <w:rFonts w:hint="eastAsia" w:ascii="宋体" w:hAnsi="宋体" w:eastAsia="宋体" w:cs="宋体"/>
          <w:b/>
          <w:sz w:val="36"/>
          <w:szCs w:val="36"/>
          <w:lang w:val="en-US" w:eastAsia="zh-CN"/>
        </w:rPr>
        <w:t>2</w:t>
      </w:r>
      <w:r>
        <w:rPr>
          <w:rFonts w:hint="eastAsia" w:ascii="宋体" w:hAnsi="宋体" w:eastAsia="宋体" w:cs="宋体"/>
          <w:b/>
          <w:sz w:val="36"/>
          <w:szCs w:val="36"/>
          <w:lang w:eastAsia="zh-CN"/>
        </w:rPr>
        <w:t>年</w:t>
      </w:r>
      <w:r>
        <w:rPr>
          <w:rFonts w:hint="eastAsia" w:ascii="宋体" w:hAnsi="宋体" w:eastAsia="宋体" w:cs="宋体"/>
          <w:b/>
          <w:sz w:val="36"/>
          <w:szCs w:val="36"/>
          <w:lang w:val="en-US" w:eastAsia="zh-CN"/>
        </w:rPr>
        <w:t>4月</w:t>
      </w:r>
    </w:p>
    <w:p>
      <w:pPr>
        <w:rPr>
          <w:rFonts w:hint="eastAsia"/>
        </w:rPr>
      </w:pPr>
      <w:r>
        <w:br w:type="page"/>
      </w:r>
    </w:p>
    <w:p>
      <w:pPr>
        <w:pStyle w:val="2"/>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18</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21</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5"/>
      <w:bookmarkEnd w:id="0"/>
      <w:bookmarkStart w:id="1" w:name="_Hlt534831144"/>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37</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46</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2"/>
      </w:pPr>
    </w:p>
    <w:p/>
    <w:p/>
    <w:p/>
    <w:p/>
    <w:p>
      <w:pPr>
        <w:jc w:val="center"/>
        <w:rPr>
          <w:rFonts w:hint="eastAsia"/>
        </w:rPr>
      </w:pPr>
      <w:r>
        <w:br w:type="page"/>
      </w:r>
      <w:r>
        <w:rPr>
          <w:rFonts w:hint="eastAsia"/>
        </w:rPr>
        <w:t>第一章 招标公告</w:t>
      </w:r>
      <w:bookmarkEnd w:id="2"/>
    </w:p>
    <w:p>
      <w:pPr>
        <w:spacing w:line="360" w:lineRule="auto"/>
        <w:jc w:val="center"/>
        <w:rPr>
          <w:rFonts w:ascii="宋体" w:hAnsi="宋体"/>
          <w:color w:val="auto"/>
          <w:sz w:val="24"/>
        </w:rPr>
      </w:pPr>
      <w:r>
        <w:rPr>
          <w:rFonts w:hint="eastAsia" w:ascii="宋体" w:hAnsi="宋体"/>
          <w:b/>
          <w:color w:val="auto"/>
          <w:sz w:val="24"/>
          <w:szCs w:val="24"/>
          <w:lang w:eastAsia="zh-CN"/>
        </w:rPr>
        <w:t>安徽省中西医结合医院采购PCR实验室试剂项目</w:t>
      </w:r>
      <w:r>
        <w:rPr>
          <w:rFonts w:hint="eastAsia" w:ascii="宋体" w:hAnsi="宋体" w:cs="宋体"/>
          <w:b/>
          <w:color w:val="auto"/>
          <w:sz w:val="24"/>
        </w:rPr>
        <w:t>招标公告</w:t>
      </w:r>
    </w:p>
    <w:p>
      <w:pPr>
        <w:spacing w:line="480" w:lineRule="exact"/>
        <w:ind w:firstLine="480" w:firstLineChars="200"/>
        <w:rPr>
          <w:rFonts w:ascii="宋体" w:hAnsi="宋体" w:cs="宋体"/>
          <w:b/>
          <w:sz w:val="24"/>
        </w:rPr>
      </w:pPr>
      <w:r>
        <w:rPr>
          <w:rFonts w:hint="eastAsia" w:ascii="宋体"/>
          <w:sz w:val="24"/>
          <w:lang w:eastAsia="zh-CN"/>
        </w:rPr>
        <w:t>安徽省中西医结合医院因工作需要</w:t>
      </w:r>
      <w:r>
        <w:rPr>
          <w:rFonts w:hint="eastAsia" w:ascii="宋体"/>
          <w:sz w:val="24"/>
        </w:rPr>
        <w:t>，</w:t>
      </w:r>
      <w:r>
        <w:rPr>
          <w:rFonts w:hint="eastAsia" w:ascii="宋体" w:hAnsi="宋体" w:cs="宋体"/>
          <w:sz w:val="24"/>
        </w:rPr>
        <w:t>对下列产品及服务进行公开招标。现邀请合格投标人参加投标</w:t>
      </w:r>
      <w:r>
        <w:rPr>
          <w:rFonts w:hint="eastAsia" w:ascii="宋体"/>
          <w:sz w:val="24"/>
        </w:rPr>
        <w:t>：</w:t>
      </w:r>
    </w:p>
    <w:p>
      <w:pPr>
        <w:spacing w:line="480" w:lineRule="exact"/>
        <w:rPr>
          <w:color w:val="auto"/>
          <w:sz w:val="24"/>
          <w:szCs w:val="24"/>
        </w:rPr>
      </w:pPr>
      <w:r>
        <w:rPr>
          <w:rFonts w:hint="eastAsia" w:ascii="宋体" w:hAnsi="宋体" w:cs="宋体"/>
          <w:b/>
          <w:color w:val="auto"/>
          <w:sz w:val="24"/>
        </w:rPr>
        <w:t>一、招标内容：</w:t>
      </w:r>
    </w:p>
    <w:tbl>
      <w:tblPr>
        <w:tblStyle w:val="15"/>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2136"/>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150" w:type="dxa"/>
            <w:vAlign w:val="center"/>
          </w:tcPr>
          <w:p>
            <w:pPr>
              <w:spacing w:line="360" w:lineRule="auto"/>
              <w:jc w:val="center"/>
              <w:rPr>
                <w:rFonts w:hint="eastAsia"/>
                <w:b/>
                <w:bCs/>
                <w:color w:val="auto"/>
                <w:sz w:val="24"/>
                <w:szCs w:val="24"/>
              </w:rPr>
            </w:pPr>
            <w:r>
              <w:rPr>
                <w:rFonts w:hint="eastAsia"/>
                <w:b/>
                <w:bCs/>
                <w:color w:val="auto"/>
                <w:sz w:val="24"/>
                <w:szCs w:val="24"/>
              </w:rPr>
              <w:t>设备名称</w:t>
            </w:r>
          </w:p>
        </w:tc>
        <w:tc>
          <w:tcPr>
            <w:tcW w:w="2136" w:type="dxa"/>
            <w:vAlign w:val="center"/>
          </w:tcPr>
          <w:p>
            <w:pPr>
              <w:spacing w:line="360" w:lineRule="auto"/>
              <w:jc w:val="center"/>
              <w:rPr>
                <w:b/>
                <w:bCs/>
                <w:color w:val="auto"/>
                <w:sz w:val="24"/>
                <w:szCs w:val="24"/>
              </w:rPr>
            </w:pPr>
            <w:r>
              <w:rPr>
                <w:rFonts w:hint="eastAsia"/>
                <w:b/>
                <w:bCs/>
                <w:color w:val="auto"/>
                <w:sz w:val="24"/>
                <w:szCs w:val="24"/>
              </w:rPr>
              <w:t>数量</w:t>
            </w:r>
          </w:p>
        </w:tc>
        <w:tc>
          <w:tcPr>
            <w:tcW w:w="2584" w:type="dxa"/>
            <w:vAlign w:val="center"/>
          </w:tcPr>
          <w:p>
            <w:pPr>
              <w:spacing w:line="360" w:lineRule="auto"/>
              <w:jc w:val="center"/>
              <w:rPr>
                <w:b/>
                <w:bCs/>
                <w:color w:val="auto"/>
                <w:sz w:val="24"/>
                <w:szCs w:val="24"/>
              </w:rPr>
            </w:pPr>
            <w:r>
              <w:rPr>
                <w:rFonts w:hint="eastAsia"/>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50" w:type="dxa"/>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新冠病毒核酸检测第三方质控品(第二个品牌）</w:t>
            </w:r>
          </w:p>
        </w:tc>
        <w:tc>
          <w:tcPr>
            <w:tcW w:w="2136" w:type="dxa"/>
            <w:vAlign w:val="center"/>
          </w:tcPr>
          <w:p>
            <w:pPr>
              <w:spacing w:line="360" w:lineRule="auto"/>
              <w:jc w:val="center"/>
              <w:rPr>
                <w:rFonts w:hint="eastAsia"/>
                <w:bCs/>
                <w:color w:val="auto"/>
                <w:sz w:val="24"/>
                <w:szCs w:val="24"/>
                <w:lang w:val="en-US" w:eastAsia="zh-CN"/>
              </w:rPr>
            </w:pPr>
            <w:r>
              <w:rPr>
                <w:rFonts w:hint="eastAsia"/>
                <w:bCs/>
                <w:color w:val="auto"/>
                <w:sz w:val="24"/>
                <w:szCs w:val="24"/>
                <w:lang w:val="en-US" w:eastAsia="zh-CN"/>
              </w:rPr>
              <w:t>见第六章技术要求</w:t>
            </w:r>
          </w:p>
        </w:tc>
        <w:tc>
          <w:tcPr>
            <w:tcW w:w="2584" w:type="dxa"/>
            <w:vAlign w:val="center"/>
          </w:tcPr>
          <w:p>
            <w:pPr>
              <w:spacing w:line="360" w:lineRule="auto"/>
              <w:jc w:val="center"/>
              <w:rPr>
                <w:rFonts w:hint="eastAsia" w:eastAsia="宋体"/>
                <w:bCs/>
                <w:color w:val="auto"/>
                <w:sz w:val="24"/>
                <w:szCs w:val="24"/>
                <w:lang w:val="en-US" w:eastAsia="zh-CN"/>
              </w:rPr>
            </w:pPr>
            <w:r>
              <w:rPr>
                <w:rFonts w:hint="eastAsia"/>
                <w:bCs/>
                <w:color w:val="auto"/>
                <w:sz w:val="24"/>
                <w:szCs w:val="24"/>
                <w:lang w:val="en-US" w:eastAsia="zh-CN"/>
              </w:rPr>
              <w:t>在用品牌：北京康彻斯坦</w:t>
            </w:r>
          </w:p>
        </w:tc>
      </w:tr>
    </w:tbl>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4、投标人应为制造商或其代理商，代理商须取得所投产品的有效授权，有效授权须满足以下条件之一：</w:t>
      </w:r>
    </w:p>
    <w:p>
      <w:pPr>
        <w:spacing w:line="48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1）所投产品制造商的授权；</w:t>
      </w:r>
    </w:p>
    <w:p>
      <w:pPr>
        <w:spacing w:line="480" w:lineRule="exact"/>
        <w:ind w:firstLine="480" w:firstLineChars="200"/>
        <w:rPr>
          <w:rFonts w:ascii="宋体" w:hAnsi="宋体" w:cs="宋体"/>
          <w:sz w:val="24"/>
          <w:highlight w:val="none"/>
        </w:rPr>
      </w:pPr>
      <w:r>
        <w:rPr>
          <w:rFonts w:hint="eastAsia" w:ascii="宋体" w:hAnsi="宋体" w:cs="宋体"/>
          <w:sz w:val="24"/>
          <w:highlight w:val="none"/>
        </w:rPr>
        <w:t>（2）从所投产品制造商至投标人的完整的授权链；</w:t>
      </w:r>
    </w:p>
    <w:p>
      <w:pPr>
        <w:spacing w:line="480" w:lineRule="exact"/>
        <w:ind w:firstLine="480" w:firstLineChars="200"/>
        <w:rPr>
          <w:rFonts w:hint="eastAsia" w:ascii="宋体" w:hAnsi="宋体" w:cs="宋体"/>
          <w:sz w:val="24"/>
        </w:rPr>
      </w:pPr>
      <w:r>
        <w:rPr>
          <w:rFonts w:hint="eastAsia" w:ascii="宋体" w:hAnsi="宋体" w:cs="宋体"/>
          <w:sz w:val="24"/>
        </w:rPr>
        <w:t>5、投标人如为代理商须提供所投产品制造商的营业执照及医疗器械生产许可证（原装进口产品除外）</w:t>
      </w:r>
    </w:p>
    <w:p>
      <w:pPr>
        <w:spacing w:line="480" w:lineRule="exact"/>
        <w:ind w:firstLine="480" w:firstLineChars="200"/>
        <w:rPr>
          <w:rFonts w:hint="eastAsia" w:ascii="宋体" w:hAnsi="宋体" w:cs="宋体" w:eastAsiaTheme="minorEastAsia"/>
          <w:sz w:val="24"/>
          <w:lang w:eastAsia="zh-CN"/>
        </w:rPr>
      </w:pPr>
      <w:r>
        <w:rPr>
          <w:rFonts w:hint="eastAsia" w:ascii="宋体" w:hAnsi="宋体" w:cs="宋体"/>
          <w:sz w:val="24"/>
        </w:rPr>
        <w:t>6、投标产品应具有“中华人民共和国医疗器械注册证”或备案凭证；</w:t>
      </w:r>
      <w:r>
        <w:rPr>
          <w:rFonts w:hint="eastAsia" w:ascii="宋体" w:hAnsi="宋体" w:cs="宋体"/>
          <w:sz w:val="24"/>
          <w:lang w:eastAsia="zh-CN"/>
        </w:rPr>
        <w:t>不作为医疗器械管理的，须提供药监部门出具的证明材料。</w:t>
      </w:r>
    </w:p>
    <w:p>
      <w:pPr>
        <w:spacing w:line="480" w:lineRule="exact"/>
        <w:ind w:firstLine="480" w:firstLineChars="200"/>
        <w:rPr>
          <w:rFonts w:hint="eastAsia" w:ascii="宋体" w:hAnsi="宋体" w:cs="宋体"/>
          <w:sz w:val="24"/>
        </w:rPr>
      </w:pPr>
      <w:r>
        <w:rPr>
          <w:rFonts w:hint="eastAsia" w:ascii="宋体" w:hAnsi="宋体" w:cs="宋体"/>
          <w:sz w:val="24"/>
        </w:rPr>
        <w:t>7、所投产品如为安徽省医药集中采购平台目录内产品，投标人须提供所投产品的安徽省医药集中采购平台流水号，并承诺符合国家两票制相关规定要求（发票不得遮挡）；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10、单位负责人为同一人或者存在控股、管理关系的不同单位，不得参加同一标段投标或者未划分标段的同一招标项目投标</w:t>
      </w:r>
      <w:r>
        <w:rPr>
          <w:rFonts w:hint="eastAsia" w:ascii="宋体" w:hAnsi="宋体" w:cs="宋体"/>
          <w:b/>
          <w:bCs/>
          <w:sz w:val="24"/>
          <w:highlight w:val="none"/>
        </w:rPr>
        <w:t>。</w:t>
      </w:r>
    </w:p>
    <w:p>
      <w:pPr>
        <w:tabs>
          <w:tab w:val="left" w:pos="540"/>
        </w:tabs>
        <w:spacing w:line="480" w:lineRule="exact"/>
        <w:rPr>
          <w:rFonts w:hint="eastAsia" w:ascii="宋体" w:hAnsi="宋体" w:cs="宋体"/>
          <w:kern w:val="0"/>
          <w:sz w:val="24"/>
          <w:szCs w:val="20"/>
        </w:rPr>
      </w:pPr>
    </w:p>
    <w:p>
      <w:pPr>
        <w:autoSpaceDE w:val="0"/>
        <w:autoSpaceDN w:val="0"/>
        <w:snapToGrid w:val="0"/>
        <w:spacing w:line="360" w:lineRule="auto"/>
        <w:jc w:val="left"/>
        <w:rPr>
          <w:rFonts w:ascii="宋体"/>
          <w:sz w:val="24"/>
        </w:rPr>
      </w:pPr>
      <w:r>
        <w:rPr>
          <w:rFonts w:hint="eastAsia" w:ascii="宋体" w:hAnsi="宋体" w:cs="宋体"/>
          <w:b/>
          <w:sz w:val="24"/>
        </w:rPr>
        <w:t>四、</w:t>
      </w:r>
      <w:r>
        <w:rPr>
          <w:rFonts w:hint="eastAsia" w:ascii="宋体"/>
          <w:b/>
          <w:sz w:val="24"/>
        </w:rPr>
        <w:t>开标时间及地点：</w:t>
      </w:r>
      <w:r>
        <w:rPr>
          <w:rFonts w:hint="eastAsia" w:ascii="宋体"/>
          <w:sz w:val="24"/>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eastAsia="宋体" w:cs="宋体"/>
          <w:kern w:val="0"/>
          <w:sz w:val="24"/>
          <w:szCs w:val="24"/>
          <w:lang w:val="zh-CN" w:bidi="zh-CN"/>
        </w:rPr>
      </w:pPr>
      <w:r>
        <w:rPr>
          <w:rFonts w:ascii="宋体" w:hAnsi="宋体" w:eastAsia="宋体" w:cs="宋体"/>
          <w:kern w:val="0"/>
          <w:sz w:val="24"/>
          <w:szCs w:val="24"/>
          <w:lang w:val="zh-CN" w:bidi="zh-CN"/>
        </w:rPr>
        <w:t>招标人：安徽省中西医结合医院</w:t>
      </w:r>
    </w:p>
    <w:p>
      <w:pPr>
        <w:autoSpaceDE w:val="0"/>
        <w:autoSpaceDN w:val="0"/>
        <w:spacing w:line="360" w:lineRule="auto"/>
        <w:ind w:firstLine="480" w:firstLineChars="200"/>
        <w:jc w:val="left"/>
        <w:rPr>
          <w:rFonts w:ascii="宋体" w:hAnsi="宋体" w:eastAsia="宋体" w:cs="宋体"/>
          <w:kern w:val="0"/>
          <w:sz w:val="24"/>
          <w:szCs w:val="24"/>
          <w:lang w:val="zh-CN" w:bidi="zh-CN"/>
        </w:rPr>
      </w:pPr>
      <w:r>
        <w:rPr>
          <w:rFonts w:ascii="宋体" w:hAnsi="宋体" w:eastAsia="宋体" w:cs="宋体"/>
          <w:kern w:val="0"/>
          <w:sz w:val="24"/>
          <w:szCs w:val="24"/>
          <w:lang w:val="zh-CN" w:bidi="zh-CN"/>
        </w:rPr>
        <w:t>地址：安徽省合肥市蜀山区史河路45号</w:t>
      </w:r>
    </w:p>
    <w:p>
      <w:pPr>
        <w:autoSpaceDE w:val="0"/>
        <w:autoSpaceDN w:val="0"/>
        <w:spacing w:line="360" w:lineRule="auto"/>
        <w:ind w:firstLine="480" w:firstLineChars="200"/>
        <w:jc w:val="left"/>
        <w:rPr>
          <w:rFonts w:ascii="宋体" w:hAnsi="宋体" w:eastAsia="宋体" w:cs="宋体"/>
          <w:kern w:val="0"/>
          <w:sz w:val="24"/>
          <w:szCs w:val="24"/>
          <w:lang w:val="en-US" w:bidi="zh-CN"/>
        </w:rPr>
      </w:pPr>
      <w:r>
        <w:rPr>
          <w:rFonts w:ascii="宋体" w:hAnsi="宋体" w:eastAsia="宋体" w:cs="宋体"/>
          <w:kern w:val="0"/>
          <w:sz w:val="24"/>
          <w:szCs w:val="24"/>
          <w:lang w:val="zh-CN" w:bidi="zh-CN"/>
        </w:rPr>
        <w:t>联系人：</w:t>
      </w:r>
      <w:r>
        <w:rPr>
          <w:rFonts w:hint="eastAsia" w:ascii="宋体" w:hAnsi="宋体" w:eastAsia="宋体" w:cs="宋体"/>
          <w:kern w:val="0"/>
          <w:sz w:val="24"/>
          <w:szCs w:val="24"/>
          <w:lang w:val="en-US" w:bidi="zh-CN"/>
        </w:rPr>
        <w:t>隋主任 王老师</w:t>
      </w:r>
    </w:p>
    <w:p>
      <w:pPr>
        <w:autoSpaceDE w:val="0"/>
        <w:autoSpaceDN w:val="0"/>
        <w:spacing w:line="360" w:lineRule="auto"/>
        <w:ind w:firstLine="480" w:firstLineChars="200"/>
        <w:jc w:val="left"/>
        <w:rPr>
          <w:rFonts w:ascii="宋体" w:hAnsi="宋体" w:eastAsia="宋体" w:cs="宋体"/>
          <w:kern w:val="0"/>
          <w:sz w:val="24"/>
          <w:szCs w:val="24"/>
          <w:lang w:val="zh-CN" w:bidi="zh-CN"/>
        </w:rPr>
      </w:pPr>
      <w:r>
        <w:rPr>
          <w:rFonts w:ascii="宋体" w:hAnsi="宋体" w:eastAsia="宋体" w:cs="宋体"/>
          <w:kern w:val="0"/>
          <w:sz w:val="24"/>
          <w:szCs w:val="24"/>
          <w:lang w:val="zh-CN" w:bidi="zh-CN"/>
        </w:rPr>
        <w:t>电话：0551-62736669</w:t>
      </w:r>
      <w:r>
        <w:rPr>
          <w:rFonts w:hint="eastAsia" w:ascii="宋体" w:hAnsi="宋体" w:eastAsia="宋体" w:cs="宋体"/>
          <w:kern w:val="0"/>
          <w:sz w:val="24"/>
          <w:szCs w:val="24"/>
          <w:lang w:val="en-US" w:bidi="zh-CN"/>
        </w:rPr>
        <w:t xml:space="preserve">   62736650  62736651</w:t>
      </w:r>
    </w:p>
    <w:p>
      <w:pPr>
        <w:pStyle w:val="2"/>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eastAsia="宋体"/>
                <w:sz w:val="24"/>
                <w:lang w:eastAsia="zh-CN"/>
              </w:rPr>
            </w:pPr>
            <w:r>
              <w:rPr>
                <w:rFonts w:hint="eastAsia" w:hAnsi="宋体"/>
                <w:sz w:val="24"/>
                <w:lang w:eastAsia="zh-CN"/>
              </w:rPr>
              <w:t>安徽省中西医结合医院采购PCR实验室试剂项目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b/>
                <w:sz w:val="24"/>
              </w:rPr>
              <w:t>试剂耗材部分</w:t>
            </w:r>
            <w:r>
              <w:rPr>
                <w:rFonts w:hint="eastAsia"/>
                <w:sz w:val="24"/>
              </w:rPr>
              <w:t>交货期为：接招标人通知后，7个日历日内货到现场</w:t>
            </w:r>
          </w:p>
          <w:p>
            <w:pPr>
              <w:pStyle w:val="9"/>
              <w:rPr>
                <w:rFonts w:hint="eastAsia" w:eastAsia="宋体"/>
                <w:sz w:val="24"/>
                <w:lang w:eastAsia="zh-CN"/>
              </w:rPr>
            </w:pPr>
            <w:r>
              <w:rPr>
                <w:rFonts w:hint="eastAsia"/>
                <w:sz w:val="24"/>
              </w:rPr>
              <w:t>地点：</w:t>
            </w:r>
            <w:r>
              <w:rPr>
                <w:rFonts w:hint="eastAsia"/>
                <w:sz w:val="24"/>
                <w:lang w:eastAsia="zh-CN"/>
              </w:rPr>
              <w:t>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4"/>
              </w:rPr>
            </w:pPr>
            <w:r>
              <w:rPr>
                <w:rFonts w:hint="eastAsia" w:hAnsi="宋体"/>
                <w:color w:val="auto"/>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color w:val="auto"/>
                <w:sz w:val="24"/>
              </w:rPr>
            </w:pPr>
            <w:r>
              <w:rPr>
                <w:rFonts w:hint="eastAsia"/>
                <w:color w:val="auto"/>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color w:val="auto"/>
                <w:sz w:val="24"/>
              </w:rPr>
            </w:pPr>
            <w:r>
              <w:rPr>
                <w:rFonts w:hint="eastAsia" w:ascii="宋体" w:hAnsi="宋体" w:cs="宋体"/>
                <w:b/>
                <w:bCs/>
                <w:color w:val="auto"/>
                <w:kern w:val="0"/>
                <w:sz w:val="24"/>
              </w:rPr>
              <w:t>试剂耗材部分</w:t>
            </w:r>
            <w:r>
              <w:rPr>
                <w:rFonts w:hint="eastAsia" w:ascii="宋体" w:hAnsi="宋体" w:cs="宋体"/>
                <w:bCs/>
                <w:color w:val="auto"/>
                <w:kern w:val="0"/>
                <w:sz w:val="24"/>
              </w:rPr>
              <w:t>付款方式为：</w:t>
            </w:r>
          </w:p>
          <w:p>
            <w:pPr>
              <w:pStyle w:val="19"/>
              <w:rPr>
                <w:rFonts w:hint="eastAsia"/>
                <w:color w:val="auto"/>
                <w:sz w:val="24"/>
              </w:rPr>
            </w:pPr>
            <w:r>
              <w:rPr>
                <w:rFonts w:hint="eastAsia" w:ascii="宋体" w:hAnsi="宋体" w:cs="宋体"/>
                <w:bCs/>
                <w:kern w:val="0"/>
                <w:sz w:val="24"/>
              </w:rPr>
              <w:t>据实结算，按月度付款，根据每月配送耗材的总额，中标人按月度开具发票，招标人六个月后支付所报月份的全部货款。（如1月份货款在7月支付，2月份货款在8月支付，以此类推）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4"/>
              </w:rPr>
            </w:pPr>
            <w:r>
              <w:rPr>
                <w:rFonts w:hint="eastAsia" w:hAnsi="宋体"/>
                <w:color w:val="auto"/>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color w:val="auto"/>
                <w:sz w:val="24"/>
              </w:rPr>
            </w:pPr>
            <w:r>
              <w:rPr>
                <w:rFonts w:hint="eastAsia"/>
                <w:color w:val="auto"/>
                <w:sz w:val="24"/>
              </w:rPr>
              <w:t>质保期</w:t>
            </w:r>
          </w:p>
          <w:p>
            <w:pPr>
              <w:pStyle w:val="19"/>
              <w:jc w:val="center"/>
              <w:rPr>
                <w:rFonts w:hint="eastAsia"/>
                <w:color w:val="auto"/>
                <w:sz w:val="24"/>
              </w:rPr>
            </w:pPr>
            <w:r>
              <w:rPr>
                <w:rFonts w:hint="eastAsia"/>
                <w:color w:val="auto"/>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color w:val="auto"/>
                <w:sz w:val="24"/>
              </w:rPr>
            </w:pPr>
            <w:r>
              <w:rPr>
                <w:rFonts w:hint="eastAsia" w:ascii="Times New Roman" w:hAnsi="Times New Roman" w:eastAsia="宋体" w:cs="Times New Roman"/>
                <w:color w:val="auto"/>
                <w:sz w:val="24"/>
                <w:highlight w:val="none"/>
                <w:lang w:val="en-US" w:eastAsia="zh-CN"/>
              </w:rPr>
              <w:t>合同期限：临时采购，</w:t>
            </w:r>
            <w:r>
              <w:rPr>
                <w:rFonts w:hint="eastAsia" w:ascii="Times New Roman" w:hAnsi="Times New Roman" w:eastAsia="宋体" w:cs="Times New Roman"/>
                <w:color w:val="auto"/>
                <w:sz w:val="24"/>
                <w:highlight w:val="none"/>
                <w:lang w:val="en-US"/>
              </w:rPr>
              <w:t>试剂供货期为</w:t>
            </w:r>
            <w:r>
              <w:rPr>
                <w:rFonts w:hint="eastAsia" w:ascii="Times New Roman" w:hAnsi="Times New Roman" w:eastAsia="宋体" w:cs="Times New Roman"/>
                <w:color w:val="auto"/>
                <w:sz w:val="24"/>
                <w:highlight w:val="none"/>
                <w:lang w:val="en-US" w:eastAsia="zh-CN"/>
              </w:rPr>
              <w:t>3个月</w:t>
            </w:r>
            <w:r>
              <w:rPr>
                <w:rFonts w:hint="eastAsia" w:ascii="Times New Roman" w:hAnsi="Times New Roman" w:eastAsia="宋体" w:cs="Times New Roman"/>
                <w:color w:val="auto"/>
                <w:sz w:val="24"/>
                <w:highlight w:val="none"/>
                <w:lang w:val="en-US"/>
              </w:rPr>
              <w:t>，按实结算。如遇国家政策变化等不可抗力，招标人可随时终止合同。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lang w:eastAsia="zh-CN"/>
              </w:rPr>
              <w:t>第</w:t>
            </w:r>
            <w:r>
              <w:rPr>
                <w:rFonts w:hint="eastAsia"/>
                <w:sz w:val="24"/>
                <w:lang w:val="en-US" w:eastAsia="zh-CN"/>
              </w:rPr>
              <w:t>10</w:t>
            </w:r>
            <w:r>
              <w:rPr>
                <w:rFonts w:hint="eastAsia"/>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eastAsia="宋体"/>
                <w:sz w:val="24"/>
                <w:lang w:eastAsia="zh-CN"/>
              </w:rPr>
            </w:pPr>
            <w:r>
              <w:rPr>
                <w:rFonts w:hint="eastAsia" w:hAnsi="宋体"/>
                <w:sz w:val="24"/>
                <w:lang w:val="en-US" w:eastAsia="zh-CN"/>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eastAsia="宋体"/>
                <w:sz w:val="24"/>
                <w:lang w:eastAsia="zh-CN"/>
              </w:rPr>
            </w:pPr>
            <w:r>
              <w:rPr>
                <w:rFonts w:hint="eastAsia" w:hAnsi="宋体"/>
                <w:sz w:val="24"/>
                <w:lang w:val="en-US" w:eastAsia="zh-CN"/>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r>
              <w:rPr>
                <w:rFonts w:hint="eastAsia" w:hAnsi="宋体"/>
                <w:sz w:val="24"/>
                <w:lang w:val="en-US" w:eastAsia="zh-CN"/>
              </w:rPr>
              <w:t>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w:t>
            </w:r>
            <w:r>
              <w:rPr>
                <w:rFonts w:hint="eastAsia" w:ascii="宋体" w:hAnsi="宋体"/>
                <w:b/>
                <w:sz w:val="24"/>
                <w:lang w:eastAsia="zh-CN"/>
              </w:rPr>
              <w:t>202</w:t>
            </w:r>
            <w:r>
              <w:rPr>
                <w:rFonts w:hint="eastAsia" w:ascii="宋体" w:hAnsi="宋体"/>
                <w:b/>
                <w:sz w:val="24"/>
                <w:lang w:val="en-US" w:eastAsia="zh-CN"/>
              </w:rPr>
              <w:t>2</w:t>
            </w:r>
            <w:r>
              <w:rPr>
                <w:rFonts w:hint="eastAsia" w:ascii="宋体" w:hAnsi="宋体"/>
                <w:b/>
                <w:sz w:val="24"/>
                <w:lang w:eastAsia="zh-CN"/>
              </w:rPr>
              <w:t>年</w:t>
            </w:r>
            <w:r>
              <w:rPr>
                <w:rFonts w:hint="eastAsia" w:ascii="宋体" w:hAnsi="宋体"/>
                <w:b/>
                <w:sz w:val="24"/>
                <w:lang w:val="en-US" w:eastAsia="zh-CN"/>
              </w:rPr>
              <w:t>4月13</w:t>
            </w:r>
            <w:r>
              <w:rPr>
                <w:rFonts w:ascii="宋体" w:hAnsi="宋体"/>
                <w:b/>
                <w:sz w:val="24"/>
              </w:rPr>
              <w:t>日</w:t>
            </w:r>
            <w:r>
              <w:rPr>
                <w:rFonts w:hint="eastAsia" w:ascii="宋体" w:hAnsi="宋体"/>
                <w:b/>
                <w:sz w:val="24"/>
                <w:lang w:eastAsia="zh-CN"/>
              </w:rPr>
              <w:t>下午</w:t>
            </w:r>
            <w:r>
              <w:rPr>
                <w:rFonts w:hint="eastAsia" w:ascii="宋体" w:hAnsi="宋体"/>
                <w:b/>
                <w:sz w:val="24"/>
                <w:lang w:val="en-US" w:eastAsia="zh-CN"/>
              </w:rPr>
              <w:t>3</w:t>
            </w:r>
            <w:bookmarkStart w:id="12" w:name="_GoBack"/>
            <w:bookmarkEnd w:id="12"/>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19"/>
              <w:rPr>
                <w:rFonts w:hAnsi="宋体"/>
                <w:sz w:val="24"/>
              </w:rPr>
            </w:pPr>
            <w:r>
              <w:rPr>
                <w:rFonts w:hint="eastAsia" w:hAnsi="宋体"/>
                <w:b/>
                <w:sz w:val="24"/>
              </w:rPr>
              <w:t>递交投标文件地点：安徽</w:t>
            </w:r>
            <w:r>
              <w:rPr>
                <w:rFonts w:hint="eastAsia" w:hAnsi="宋体"/>
                <w:b/>
                <w:sz w:val="24"/>
                <w:lang w:eastAsia="zh-CN"/>
              </w:rPr>
              <w:t>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r>
              <w:rPr>
                <w:rFonts w:hint="eastAsia" w:hAnsi="宋体"/>
                <w:sz w:val="24"/>
                <w:lang w:val="en-US" w:eastAsia="zh-CN"/>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中标结果将会在及</w:t>
            </w:r>
            <w:r>
              <w:rPr>
                <w:rFonts w:hint="eastAsia"/>
                <w:sz w:val="24"/>
                <w:lang w:eastAsia="zh-CN"/>
              </w:rPr>
              <w:t>质</w:t>
            </w:r>
            <w:r>
              <w:rPr>
                <w:rFonts w:hint="eastAsia"/>
                <w:sz w:val="24"/>
              </w:rPr>
              <w:t>采招标采购电子交易平台上公示，不另行通知。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eastAsia="宋体"/>
                <w:b/>
                <w:kern w:val="2"/>
                <w:sz w:val="24"/>
                <w:szCs w:val="24"/>
                <w:highlight w:val="none"/>
                <w:lang w:val="en-US" w:eastAsia="zh-CN" w:bidi="ar-SA"/>
              </w:rPr>
            </w:pPr>
            <w:r>
              <w:rPr>
                <w:rFonts w:hint="eastAsia" w:hAnsi="宋体"/>
                <w:b/>
                <w:sz w:val="24"/>
                <w:highlight w:val="none"/>
              </w:rPr>
              <w:t>1</w:t>
            </w:r>
            <w:r>
              <w:rPr>
                <w:rFonts w:hint="eastAsia" w:hAnsi="宋体"/>
                <w:b/>
                <w:sz w:val="24"/>
                <w:highlight w:val="none"/>
                <w:lang w:val="en-US" w:eastAsia="zh-CN"/>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kern w:val="2"/>
                <w:sz w:val="24"/>
                <w:szCs w:val="24"/>
                <w:highlight w:val="none"/>
                <w:lang w:val="en-US" w:eastAsia="zh-CN" w:bidi="ar-SA"/>
              </w:rPr>
            </w:pPr>
            <w:r>
              <w:rPr>
                <w:rFonts w:hint="eastAsia" w:hAnsi="宋体"/>
                <w:b/>
                <w:sz w:val="24"/>
                <w:highlight w:val="none"/>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highlight w:val="none"/>
              </w:rPr>
            </w:pPr>
            <w:r>
              <w:rPr>
                <w:rFonts w:hint="eastAsia" w:ascii="宋体" w:hAnsi="宋体"/>
                <w:b/>
                <w:color w:val="000000"/>
                <w:sz w:val="24"/>
                <w:highlight w:val="none"/>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highlight w:val="none"/>
              </w:rPr>
            </w:pPr>
            <w:r>
              <w:rPr>
                <w:rFonts w:hint="eastAsia" w:ascii="宋体" w:hAnsi="宋体"/>
                <w:b/>
                <w:color w:val="000000"/>
                <w:sz w:val="24"/>
                <w:highlight w:val="none"/>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highlight w:val="none"/>
              </w:rPr>
            </w:pPr>
            <w:r>
              <w:rPr>
                <w:rFonts w:hint="eastAsia" w:ascii="宋体" w:hAnsi="宋体"/>
                <w:b/>
                <w:color w:val="000000"/>
                <w:sz w:val="24"/>
                <w:highlight w:val="none"/>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kern w:val="2"/>
                <w:sz w:val="24"/>
                <w:szCs w:val="24"/>
                <w:highlight w:val="none"/>
                <w:lang w:val="en-US" w:eastAsia="zh-CN" w:bidi="ar-SA"/>
              </w:rPr>
            </w:pPr>
            <w:r>
              <w:rPr>
                <w:rFonts w:hint="eastAsia" w:ascii="宋体" w:hAnsi="宋体"/>
                <w:b/>
                <w:color w:val="000000"/>
                <w:sz w:val="24"/>
                <w:highlight w:val="none"/>
              </w:rPr>
              <w:t>备注：</w:t>
            </w:r>
            <w:r>
              <w:rPr>
                <w:rFonts w:ascii="宋体" w:hAnsi="宋体"/>
                <w:b/>
                <w:color w:val="000000"/>
                <w:sz w:val="24"/>
                <w:highlight w:val="none"/>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4"/>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spacing w:line="320" w:lineRule="exact"/>
        <w:rPr>
          <w:rFonts w:hint="eastAsia"/>
          <w:sz w:val="24"/>
        </w:rPr>
      </w:pPr>
      <w:r>
        <w:rPr>
          <w:rFonts w:hint="eastAsia"/>
          <w:sz w:val="24"/>
        </w:rPr>
        <w:t>4.5投标人之间如果存在下列情形之一的，不得同时参加本项目投标：</w:t>
      </w:r>
    </w:p>
    <w:p>
      <w:pPr>
        <w:spacing w:line="320" w:lineRule="exact"/>
        <w:rPr>
          <w:rFonts w:hint="eastAsia"/>
          <w:sz w:val="24"/>
        </w:rPr>
      </w:pPr>
      <w:r>
        <w:rPr>
          <w:rFonts w:hint="eastAsia"/>
          <w:sz w:val="24"/>
        </w:rPr>
        <w:t>4.5.1法定代表人为同一个人的两个及两个以上法人；</w:t>
      </w:r>
    </w:p>
    <w:p>
      <w:pPr>
        <w:spacing w:line="320" w:lineRule="exact"/>
        <w:rPr>
          <w:rFonts w:hint="eastAsia"/>
          <w:sz w:val="24"/>
        </w:rPr>
      </w:pPr>
      <w:r>
        <w:rPr>
          <w:rFonts w:hint="eastAsia"/>
          <w:sz w:val="24"/>
        </w:rPr>
        <w:t>4.5.2母公司、全资子公司及其控股公司；</w:t>
      </w:r>
    </w:p>
    <w:p>
      <w:pPr>
        <w:spacing w:line="320" w:lineRule="exact"/>
        <w:rPr>
          <w:rFonts w:hint="eastAsia"/>
          <w:sz w:val="24"/>
        </w:rPr>
      </w:pPr>
      <w:r>
        <w:rPr>
          <w:rFonts w:hint="eastAsia"/>
          <w:sz w:val="24"/>
        </w:rPr>
        <w:t>4.5.3法律和行政法规规定的其他情形。</w:t>
      </w:r>
      <w:r>
        <w:rPr>
          <w:sz w:val="24"/>
        </w:rPr>
        <w:t xml:space="preserve"> </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4"/>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ascii="宋体" w:hAnsi="宋体"/>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ascii="宋体" w:hAnsi="宋体"/>
        </w:rPr>
      </w:pPr>
      <w:r>
        <w:rPr>
          <w:rFonts w:hint="eastAsia" w:ascii="宋体" w:hAnsi="宋体"/>
          <w:sz w:val="24"/>
        </w:rPr>
        <w:t>9</w:t>
      </w:r>
      <w:r>
        <w:rPr>
          <w:rFonts w:ascii="宋体" w:hAnsi="宋体"/>
          <w:sz w:val="24"/>
        </w:rPr>
        <w:t>.2</w:t>
      </w:r>
      <w:r>
        <w:rPr>
          <w:rFonts w:hint="eastAsia" w:ascii="宋体" w:hAnsi="宋体"/>
          <w:sz w:val="24"/>
        </w:rPr>
        <w:t>招标文件的修改将</w:t>
      </w:r>
      <w:r>
        <w:rPr>
          <w:rFonts w:hint="eastAsia" w:ascii="宋体" w:hAnsi="宋体"/>
          <w:sz w:val="24"/>
          <w:lang w:val="en-US" w:eastAsia="zh-CN"/>
        </w:rPr>
        <w:t>对</w:t>
      </w:r>
      <w:r>
        <w:rPr>
          <w:rFonts w:hint="eastAsia" w:ascii="宋体" w:hAnsi="宋体"/>
          <w:sz w:val="24"/>
        </w:rPr>
        <w:t>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.3</w:t>
      </w:r>
      <w:r>
        <w:rPr>
          <w:rFonts w:hint="eastAsia" w:ascii="宋体" w:hAnsi="宋体"/>
          <w:sz w:val="24"/>
        </w:rPr>
        <w:t>招标文件的修改应考虑给予投标人合理的时间制作相应的投标文件。招标代理机构可酌情延长截标日期。</w:t>
      </w:r>
    </w:p>
    <w:p>
      <w:pPr>
        <w:pStyle w:val="4"/>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.1</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w:t>
      </w:r>
      <w:r>
        <w:rPr>
          <w:rFonts w:hint="eastAsia"/>
          <w:sz w:val="24"/>
          <w:lang w:val="en-US" w:eastAsia="zh-CN"/>
        </w:rPr>
        <w:t>人</w:t>
      </w:r>
      <w:r>
        <w:rPr>
          <w:rFonts w:hint="eastAsia"/>
          <w:sz w:val="24"/>
        </w:rPr>
        <w:t>按照以上内容装订成册连续编写页码，认真按照格式填写全部内容。</w:t>
      </w:r>
    </w:p>
    <w:p>
      <w:pPr>
        <w:spacing w:line="360" w:lineRule="exact"/>
        <w:rPr>
          <w:rFonts w:hint="eastAsia"/>
          <w:sz w:val="24"/>
        </w:rPr>
      </w:pPr>
      <w:r>
        <w:rPr>
          <w:rFonts w:hint="eastAsia"/>
          <w:sz w:val="24"/>
        </w:rPr>
        <w:t>投标文件如未按照本条要求提供相应材料可能导致其投标被废除。</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10.2如投标人无详细说明对招标文件的商务和技术不响应或者没有填写商务和技术偏离表，则视为投标人默认响应招标文件的商务和技术全部要求。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w:t>
      </w:r>
      <w:r>
        <w:rPr>
          <w:rFonts w:hint="eastAsia"/>
          <w:sz w:val="24"/>
          <w:lang w:val="en-US" w:eastAsia="zh-CN"/>
        </w:rPr>
        <w:t>或招标人</w:t>
      </w:r>
      <w:r>
        <w:rPr>
          <w:rFonts w:hint="eastAsia"/>
          <w:sz w:val="24"/>
        </w:rPr>
        <w:t>有权</w:t>
      </w:r>
      <w:r>
        <w:rPr>
          <w:rFonts w:hint="eastAsia"/>
          <w:sz w:val="24"/>
          <w:lang w:val="en-US" w:eastAsia="zh-CN"/>
        </w:rPr>
        <w:t>委托代理机构</w:t>
      </w:r>
      <w:r>
        <w:rPr>
          <w:rFonts w:hint="eastAsia"/>
          <w:sz w:val="24"/>
        </w:rPr>
        <w:t>没收</w:t>
      </w:r>
      <w:r>
        <w:rPr>
          <w:rFonts w:hint="eastAsia"/>
          <w:sz w:val="24"/>
          <w:lang w:val="en-US" w:eastAsia="zh-CN"/>
        </w:rPr>
        <w:t>其</w:t>
      </w:r>
      <w:r>
        <w:rPr>
          <w:rFonts w:hint="eastAsia"/>
          <w:sz w:val="24"/>
        </w:rPr>
        <w:t>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或者漏报招标人有权拒绝其投标（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全部满足本招标文件的要求。</w:t>
      </w:r>
    </w:p>
    <w:p>
      <w:pPr>
        <w:spacing w:line="360" w:lineRule="exact"/>
        <w:rPr>
          <w:sz w:val="24"/>
        </w:rPr>
      </w:pPr>
      <w:r>
        <w:rPr>
          <w:sz w:val="24"/>
        </w:rPr>
        <w:t>1</w:t>
      </w:r>
      <w:r>
        <w:rPr>
          <w:rFonts w:hint="eastAsia"/>
          <w:sz w:val="24"/>
        </w:rPr>
        <w:t>1</w:t>
      </w:r>
      <w:r>
        <w:rPr>
          <w:sz w:val="24"/>
        </w:rPr>
        <w:t>.3</w:t>
      </w:r>
      <w:r>
        <w:rPr>
          <w:rFonts w:hint="eastAsia"/>
          <w:sz w:val="24"/>
        </w:rPr>
        <w:t>投标报价中应包含以下内容（如有）：</w:t>
      </w:r>
    </w:p>
    <w:p>
      <w:pPr>
        <w:spacing w:line="360" w:lineRule="exact"/>
        <w:rPr>
          <w:sz w:val="24"/>
        </w:rPr>
      </w:pPr>
      <w:r>
        <w:rPr>
          <w:rFonts w:hint="eastAsia"/>
          <w:sz w:val="24"/>
        </w:rPr>
        <w:t>1）技术服务和培训等各项费用，计入投标总价，招标文件另行规定的从其规定。</w:t>
      </w:r>
    </w:p>
    <w:p>
      <w:pPr>
        <w:spacing w:line="360" w:lineRule="exact"/>
        <w:rPr>
          <w:sz w:val="24"/>
        </w:rPr>
      </w:pPr>
      <w:r>
        <w:rPr>
          <w:rFonts w:hint="eastAsia"/>
          <w:sz w:val="24"/>
        </w:rPr>
        <w:t>2）质保期内备品、备件的价格，计入投标总价，招标文件另行规定的从其规定。</w:t>
      </w:r>
    </w:p>
    <w:p>
      <w:pPr>
        <w:spacing w:line="360" w:lineRule="exact"/>
        <w:rPr>
          <w:sz w:val="24"/>
        </w:rPr>
      </w:pPr>
      <w:r>
        <w:rPr>
          <w:sz w:val="24"/>
        </w:rPr>
        <w:t>1</w:t>
      </w:r>
      <w:r>
        <w:rPr>
          <w:rFonts w:hint="eastAsia"/>
          <w:sz w:val="24"/>
        </w:rPr>
        <w:t>1</w:t>
      </w:r>
      <w:r>
        <w:rPr>
          <w:sz w:val="24"/>
        </w:rPr>
        <w:t>.</w:t>
      </w:r>
      <w:r>
        <w:rPr>
          <w:rFonts w:hint="eastAsia"/>
          <w:sz w:val="24"/>
        </w:rPr>
        <w:t>4买方可以按招标文件及中标人的投标文件中规定的相关条件订立合同。</w:t>
      </w:r>
    </w:p>
    <w:p>
      <w:pPr>
        <w:spacing w:line="360" w:lineRule="exact"/>
        <w:rPr>
          <w:sz w:val="24"/>
        </w:rPr>
      </w:pPr>
      <w:r>
        <w:rPr>
          <w:sz w:val="24"/>
        </w:rPr>
        <w:t>11.</w:t>
      </w:r>
      <w:r>
        <w:rPr>
          <w:rFonts w:hint="eastAsia"/>
          <w:sz w:val="24"/>
        </w:rPr>
        <w:t>5投标人所报的价格在合同执行过程中是固定的，不得以任何理由予以变更。</w:t>
      </w:r>
    </w:p>
    <w:p>
      <w:pPr>
        <w:spacing w:line="360" w:lineRule="exact"/>
        <w:rPr>
          <w:rFonts w:hint="eastAsia"/>
          <w:sz w:val="24"/>
        </w:rPr>
      </w:pPr>
      <w:r>
        <w:rPr>
          <w:sz w:val="24"/>
        </w:rPr>
        <w:t>11.</w:t>
      </w:r>
      <w:r>
        <w:rPr>
          <w:rFonts w:hint="eastAsia"/>
          <w:sz w:val="24"/>
        </w:rPr>
        <w:t>6除招标文件中允许有备选方案外，不接受供备选方案或者二个及以上报价方案。</w:t>
      </w:r>
    </w:p>
    <w:p>
      <w:pPr>
        <w:spacing w:line="360" w:lineRule="exact"/>
        <w:ind w:left="480" w:hanging="480" w:hangingChars="200"/>
        <w:rPr>
          <w:rFonts w:hint="eastAsia"/>
          <w:sz w:val="24"/>
        </w:rPr>
      </w:pPr>
      <w:r>
        <w:rPr>
          <w:rFonts w:hint="eastAsia"/>
          <w:sz w:val="24"/>
        </w:rPr>
        <w:t>11.7本项目为交钥匙工程，报价应包括外购、外协、配套件，原材料及生产制造、检验、出成品、包装，保险、利税关税、管理、运费、装卸、安装、调试、检测，软件、硬件、质量技术监督部门检测费、取证以及所有项目下装修施工等直至交钥匙工程所发生的全部费用。</w:t>
      </w:r>
    </w:p>
    <w:p>
      <w:pPr>
        <w:spacing w:line="360" w:lineRule="exact"/>
        <w:rPr>
          <w:rFonts w:hint="eastAsia"/>
          <w:sz w:val="24"/>
        </w:rPr>
      </w:pPr>
      <w:r>
        <w:rPr>
          <w:rFonts w:hint="eastAsia"/>
          <w:sz w:val="24"/>
        </w:rPr>
        <w:t>11.8最低报价不能作为中标的保证。</w:t>
      </w:r>
    </w:p>
    <w:p>
      <w:pPr>
        <w:spacing w:line="360" w:lineRule="exact"/>
        <w:rPr>
          <w:rFonts w:hint="eastAsia"/>
          <w:sz w:val="24"/>
        </w:rPr>
      </w:pPr>
      <w:r>
        <w:rPr>
          <w:rFonts w:hint="eastAsia"/>
          <w:sz w:val="24"/>
        </w:rPr>
        <w:t>11.9安装和/或装饰工程费用的计价（如有）</w:t>
      </w:r>
    </w:p>
    <w:p>
      <w:pPr>
        <w:spacing w:line="360" w:lineRule="exact"/>
        <w:ind w:left="420" w:leftChars="20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11.10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 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任何未按照招标文件规定的投标保证金的投标将，按照废标处理。</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投标人保证金，将一律按电汇或转帐方式将保证金退还至投标人单位帐户，不退个人，不退现金。（投标保证金退还细则见本招标文件最后一页）</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下列任何情况发生时，招标人有权没收其投标保证金：</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p>
    <w:p>
      <w:pPr>
        <w:spacing w:line="360" w:lineRule="exact"/>
        <w:rPr>
          <w:sz w:val="24"/>
        </w:rPr>
      </w:pPr>
      <w:r>
        <w:rPr>
          <w:sz w:val="24"/>
        </w:rPr>
        <w:t>3</w:t>
      </w:r>
      <w:r>
        <w:rPr>
          <w:rFonts w:hint="eastAsia"/>
          <w:sz w:val="24"/>
        </w:rPr>
        <w:t>）</w:t>
      </w:r>
      <w:r>
        <w:rPr>
          <w:sz w:val="24"/>
        </w:rPr>
        <w:t xml:space="preserve"> </w:t>
      </w:r>
      <w:r>
        <w:rPr>
          <w:rFonts w:hint="eastAsia"/>
          <w:sz w:val="24"/>
        </w:rPr>
        <w:t>签署合同后，未能在规定的时间内提供履约保证金；</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投标人应按照第二章投标须知的规定编制投标文件。每套投标文件须清楚地标明“正本”或“副本”。如正本和副本不符，以正本为准。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w:t>
      </w:r>
      <w:r>
        <w:rPr>
          <w:rFonts w:hint="eastAsia"/>
          <w:b/>
          <w:sz w:val="24"/>
          <w:lang w:val="en-US" w:eastAsia="zh-CN"/>
        </w:rPr>
        <w:t>提倡环保</w:t>
      </w:r>
      <w:r>
        <w:rPr>
          <w:rFonts w:hint="eastAsia"/>
          <w:b/>
          <w:sz w:val="24"/>
        </w:rPr>
        <w:t>，建议双面打印并简装投标文件。</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投标文件中任何行间插字、涂改和增删，必须由投标文件签字人签字或加盖投标人公章方为有效。</w:t>
      </w:r>
    </w:p>
    <w:p>
      <w:pPr>
        <w:pStyle w:val="4"/>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sz w:val="24"/>
        </w:rPr>
      </w:pPr>
      <w:r>
        <w:rPr>
          <w:rFonts w:hint="eastAsia"/>
          <w:sz w:val="24"/>
        </w:rPr>
        <w:t>17</w:t>
      </w:r>
      <w:r>
        <w:rPr>
          <w:sz w:val="24"/>
        </w:rPr>
        <w:t xml:space="preserve">.2 </w:t>
      </w:r>
      <w:r>
        <w:rPr>
          <w:rFonts w:hint="eastAsia"/>
          <w:sz w:val="24"/>
        </w:rPr>
        <w:t>投标人的修改文件或撤回通知应加盖投标人公章，并在外装信封上明显标明“投标文件修改书”或“投标文件撤回通知”字样。</w:t>
      </w:r>
    </w:p>
    <w:p>
      <w:pPr>
        <w:spacing w:line="320" w:lineRule="exact"/>
        <w:ind w:left="480" w:hanging="480" w:hangingChars="200"/>
        <w:rPr>
          <w:rFonts w:hint="eastAsia"/>
          <w:sz w:val="24"/>
        </w:rPr>
      </w:pPr>
      <w:r>
        <w:rPr>
          <w:rFonts w:hint="eastAsia"/>
          <w:sz w:val="24"/>
        </w:rPr>
        <w:t>17</w:t>
      </w:r>
      <w:r>
        <w:rPr>
          <w:sz w:val="24"/>
        </w:rPr>
        <w:t>.</w:t>
      </w:r>
      <w:r>
        <w:rPr>
          <w:rFonts w:hint="eastAsia"/>
          <w:sz w:val="24"/>
        </w:rPr>
        <w:t>3</w:t>
      </w:r>
      <w:r>
        <w:rPr>
          <w:sz w:val="24"/>
        </w:rPr>
        <w:t xml:space="preserve">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17.4</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4"/>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w:t>
      </w:r>
      <w:r>
        <w:rPr>
          <w:rFonts w:hint="eastAsia" w:ascii="宋体" w:hAnsi="宋体"/>
          <w:sz w:val="24"/>
          <w:lang w:val="en-US" w:eastAsia="zh-CN"/>
        </w:rPr>
        <w:t xml:space="preserve"> </w:t>
      </w:r>
      <w:r>
        <w:rPr>
          <w:rFonts w:hint="eastAsia" w:ascii="宋体" w:hAnsi="宋体"/>
          <w:sz w:val="24"/>
        </w:rPr>
        <w:t>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int="eastAsia" w:hAnsi="宋体"/>
          <w:sz w:val="24"/>
          <w:lang w:val="en-US" w:eastAsia="zh-CN"/>
        </w:rPr>
        <w:t xml:space="preserve"> </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lang w:eastAsia="zh-CN"/>
        </w:rPr>
        <w:t>）</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lang w:eastAsia="zh-CN"/>
        </w:rPr>
        <w:t>）</w:t>
      </w:r>
      <w:r>
        <w:rPr>
          <w:rFonts w:hint="eastAsia"/>
          <w:sz w:val="24"/>
        </w:rPr>
        <w:t>投标文件申报的交货期；</w:t>
      </w:r>
    </w:p>
    <w:p>
      <w:pPr>
        <w:ind w:firstLine="480" w:firstLineChars="200"/>
        <w:rPr>
          <w:sz w:val="24"/>
        </w:rPr>
      </w:pPr>
      <w:r>
        <w:rPr>
          <w:sz w:val="24"/>
        </w:rPr>
        <w:t>3</w:t>
      </w:r>
      <w:r>
        <w:rPr>
          <w:rFonts w:hint="eastAsia"/>
          <w:sz w:val="24"/>
          <w:lang w:eastAsia="zh-CN"/>
        </w:rPr>
        <w:t>）</w:t>
      </w:r>
      <w:r>
        <w:rPr>
          <w:rFonts w:hint="eastAsia"/>
          <w:sz w:val="24"/>
        </w:rPr>
        <w:t>与合同条款规定的商务条款的偏离；</w:t>
      </w:r>
      <w:r>
        <w:rPr>
          <w:sz w:val="24"/>
        </w:rPr>
        <w:t xml:space="preserve"> </w:t>
      </w:r>
    </w:p>
    <w:p>
      <w:pPr>
        <w:ind w:firstLine="480" w:firstLineChars="200"/>
        <w:rPr>
          <w:sz w:val="24"/>
        </w:rPr>
      </w:pPr>
      <w:r>
        <w:rPr>
          <w:rFonts w:hint="eastAsia"/>
          <w:sz w:val="24"/>
        </w:rPr>
        <w:t>4</w:t>
      </w:r>
      <w:r>
        <w:rPr>
          <w:rFonts w:hint="eastAsia"/>
          <w:sz w:val="24"/>
          <w:lang w:eastAsia="zh-CN"/>
        </w:rPr>
        <w:t>）</w:t>
      </w:r>
      <w:r>
        <w:rPr>
          <w:rFonts w:hint="eastAsia"/>
          <w:sz w:val="24"/>
        </w:rPr>
        <w:t>在中华人民共和国境内得到投标货物的备件和售后服务的可能性；</w:t>
      </w:r>
    </w:p>
    <w:p>
      <w:pPr>
        <w:ind w:firstLine="480" w:firstLineChars="200"/>
        <w:rPr>
          <w:sz w:val="24"/>
        </w:rPr>
      </w:pPr>
      <w:r>
        <w:rPr>
          <w:rFonts w:hint="eastAsia"/>
          <w:sz w:val="24"/>
        </w:rPr>
        <w:t>5</w:t>
      </w:r>
      <w:r>
        <w:rPr>
          <w:rFonts w:hint="eastAsia"/>
          <w:sz w:val="24"/>
          <w:lang w:eastAsia="zh-CN"/>
        </w:rPr>
        <w:t>）</w:t>
      </w:r>
      <w:r>
        <w:rPr>
          <w:rFonts w:hint="eastAsia"/>
          <w:sz w:val="24"/>
        </w:rPr>
        <w:t>投标货物的性能；</w:t>
      </w:r>
    </w:p>
    <w:p>
      <w:pPr>
        <w:ind w:firstLine="480" w:firstLineChars="200"/>
        <w:rPr>
          <w:sz w:val="24"/>
        </w:rPr>
      </w:pPr>
      <w:r>
        <w:rPr>
          <w:rFonts w:hint="eastAsia"/>
          <w:sz w:val="24"/>
        </w:rPr>
        <w:t>6</w:t>
      </w:r>
      <w:r>
        <w:rPr>
          <w:rFonts w:hint="eastAsia"/>
          <w:sz w:val="24"/>
          <w:lang w:eastAsia="zh-CN"/>
        </w:rPr>
        <w:t>）</w:t>
      </w:r>
      <w:r>
        <w:rPr>
          <w:rFonts w:hint="eastAsia"/>
          <w:sz w:val="24"/>
        </w:rPr>
        <w:t>技术规格所列的其它具体标准：</w:t>
      </w:r>
    </w:p>
    <w:p>
      <w:pPr>
        <w:ind w:left="719" w:leftChars="228" w:hanging="240" w:hangingChars="100"/>
        <w:rPr>
          <w:rFonts w:hint="eastAsia"/>
          <w:sz w:val="24"/>
        </w:rPr>
      </w:pPr>
      <w:r>
        <w:rPr>
          <w:rFonts w:hint="eastAsia"/>
          <w:sz w:val="24"/>
        </w:rPr>
        <w:t>7）</w:t>
      </w:r>
      <w:r>
        <w:rPr>
          <w:rFonts w:hint="eastAsia"/>
          <w:b/>
          <w:sz w:val="24"/>
        </w:rPr>
        <w:t>招标文件中带“*”或者带“★”的条款为关键性条款，必须提供详细说明及相关支持证明材料（证明材料明细见《第五章 评分方法》）</w:t>
      </w:r>
      <w:r>
        <w:rPr>
          <w:rFonts w:hint="eastAsia"/>
          <w:sz w:val="24"/>
        </w:rPr>
        <w:t>。</w:t>
      </w:r>
      <w:r>
        <w:rPr>
          <w:rFonts w:hint="eastAsia"/>
          <w:b/>
          <w:sz w:val="24"/>
        </w:rPr>
        <w:t>对带“*”或者带“★”号条款的任何负偏离根据招标文件第五章评标办法规定扣分。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4"/>
      </w:pPr>
      <w:r>
        <w:rPr>
          <w:rFonts w:hint="eastAsia"/>
        </w:rPr>
        <w:t>六、预中标人的确定</w:t>
      </w:r>
    </w:p>
    <w:p>
      <w:pPr>
        <w:spacing w:before="120" w:line="360" w:lineRule="exact"/>
        <w:rPr>
          <w:rFonts w:ascii="宋体" w:hAnsi="宋体"/>
          <w:b/>
          <w:sz w:val="24"/>
        </w:rPr>
      </w:pPr>
      <w:r>
        <w:rPr>
          <w:rFonts w:hint="eastAsia" w:ascii="宋体" w:hAnsi="宋体"/>
          <w:b/>
          <w:sz w:val="24"/>
        </w:rPr>
        <w:t>24.确定预中标人的标准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w:t>
      </w:r>
      <w:r>
        <w:rPr>
          <w:rFonts w:ascii="宋体" w:hAnsi="宋体"/>
          <w:sz w:val="24"/>
        </w:rPr>
        <w:t>预中标人。评标委员会据此程序最多可推荐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6）具有其他违法法律法规行为的。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3"/>
        <w:rPr>
          <w:rFonts w:hint="eastAsia"/>
        </w:rPr>
      </w:pPr>
    </w:p>
    <w:p>
      <w:pPr>
        <w:pStyle w:val="4"/>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r>
        <w:rPr>
          <w:rFonts w:ascii="宋体" w:hAnsi="宋体"/>
          <w:b/>
          <w:sz w:val="24"/>
        </w:rPr>
        <w:t xml:space="preserve"> </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中标人应在收到中标通知书7个日历日内与买方在买方所在地签定合同。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exact"/>
        <w:jc w:val="center"/>
        <w:rPr>
          <w:rFonts w:hint="eastAsia" w:eastAsia="黑体"/>
          <w:sz w:val="48"/>
        </w:rPr>
      </w:pPr>
    </w:p>
    <w:p>
      <w:pPr>
        <w:pStyle w:val="2"/>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w:t>
      </w:r>
      <w:r>
        <w:rPr>
          <w:rFonts w:hint="eastAsia" w:ascii="宋体" w:hAnsi="宋体"/>
          <w:sz w:val="24"/>
          <w:lang w:val="en-US" w:eastAsia="zh-CN"/>
        </w:rPr>
        <w:t>民法典</w:t>
      </w:r>
      <w:r>
        <w:rPr>
          <w:rFonts w:hint="eastAsia" w:ascii="宋体" w:hAnsi="宋体"/>
          <w:sz w:val="24"/>
        </w:rPr>
        <w:t>》及有关法规规定，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w:t>
      </w:r>
      <w:r>
        <w:rPr>
          <w:rFonts w:hint="eastAsia" w:ascii="宋体" w:hAnsi="宋体"/>
          <w:sz w:val="24"/>
          <w:lang w:eastAsia="zh-CN"/>
        </w:rPr>
        <w:t>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地      址：安徽省合肥市梅山路117号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电话：0551-2838609</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 xml:space="preserve">    传真：0551-2838609</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2"/>
      </w:pPr>
      <w:r>
        <w:rPr>
          <w:rFonts w:eastAsia="黑体"/>
          <w:sz w:val="48"/>
          <w:szCs w:val="48"/>
        </w:rPr>
        <w:br w:type="page"/>
      </w:r>
      <w:bookmarkStart w:id="7" w:name="_Toc534809201"/>
      <w:r>
        <w:rPr>
          <w:rFonts w:hint="eastAsia"/>
        </w:rPr>
        <w:t>第四章 投标文件格式</w:t>
      </w:r>
      <w:bookmarkEnd w:id="7"/>
    </w:p>
    <w:p>
      <w:pPr>
        <w:pStyle w:val="19"/>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 w:val="24"/>
              </w:rPr>
            </w:pPr>
            <w:r>
              <w:rPr>
                <w:rFonts w:hint="eastAsia" w:ascii="宋体" w:hAnsi="宋体" w:cs="Arial"/>
                <w:b w:val="0"/>
                <w:bCs/>
                <w:sz w:val="24"/>
              </w:rPr>
              <w:t>序号</w:t>
            </w:r>
          </w:p>
        </w:tc>
        <w:tc>
          <w:tcPr>
            <w:tcW w:w="2892" w:type="dxa"/>
            <w:vAlign w:val="top"/>
          </w:tcPr>
          <w:p>
            <w:pPr>
              <w:pStyle w:val="4"/>
              <w:rPr>
                <w:rFonts w:ascii="宋体" w:hAnsi="宋体" w:cs="Arial"/>
                <w:b w:val="0"/>
                <w:bCs/>
                <w:sz w:val="24"/>
              </w:rPr>
            </w:pPr>
            <w:r>
              <w:rPr>
                <w:rFonts w:hint="eastAsia" w:ascii="宋体" w:hAnsi="宋体" w:cs="Arial"/>
                <w:b w:val="0"/>
                <w:bCs/>
                <w:sz w:val="24"/>
              </w:rPr>
              <w:t>资料名称</w:t>
            </w:r>
          </w:p>
        </w:tc>
        <w:tc>
          <w:tcPr>
            <w:tcW w:w="2892" w:type="dxa"/>
            <w:vAlign w:val="top"/>
          </w:tcPr>
          <w:p>
            <w:pPr>
              <w:pStyle w:val="4"/>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一</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二</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2" w:type="dxa"/>
            <w:vAlign w:val="top"/>
          </w:tcPr>
          <w:p>
            <w:pPr>
              <w:pStyle w:val="4"/>
              <w:rPr>
                <w:rFonts w:ascii="宋体" w:hAnsi="宋体" w:cs="Arial"/>
                <w:b w:val="0"/>
                <w:bCs/>
                <w:szCs w:val="28"/>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bl>
    <w:p>
      <w:pPr>
        <w:rPr>
          <w:rFonts w:hint="eastAsia"/>
        </w:rPr>
      </w:pPr>
    </w:p>
    <w:p>
      <w:pPr>
        <w:pStyle w:val="19"/>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hAnsi="Arial" w:cs="Arial"/>
          <w:bCs/>
          <w:lang w:val="en-US" w:eastAsia="zh-CN"/>
        </w:rPr>
        <w:t>2</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w:t>
      </w:r>
      <w:r>
        <w:rPr>
          <w:rFonts w:hint="eastAsia" w:ascii="宋体"/>
          <w:sz w:val="24"/>
          <w:lang w:val="en-US" w:eastAsia="zh-CN"/>
        </w:rPr>
        <w:t>本投标</w:t>
      </w:r>
      <w:r>
        <w:rPr>
          <w:rFonts w:hint="eastAsia" w:ascii="宋体"/>
          <w:sz w:val="24"/>
        </w:rPr>
        <w:t>文件正本一份及副本____份：</w:t>
      </w: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lang w:val="en-US" w:eastAsia="zh-CN"/>
        </w:rPr>
        <w:t>3</w:t>
      </w:r>
      <w:r>
        <w:rPr>
          <w:rFonts w:ascii="宋体" w:hAnsi="宋体"/>
          <w:b/>
          <w:bCs/>
          <w:sz w:val="28"/>
          <w:szCs w:val="28"/>
        </w:rPr>
        <w:t xml:space="preserve">. </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tbl>
      <w:tblPr>
        <w:tblStyle w:val="15"/>
        <w:tblW w:w="1314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072"/>
        <w:gridCol w:w="2537"/>
        <w:gridCol w:w="3685"/>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08"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sz w:val="24"/>
                <w:szCs w:val="20"/>
              </w:rPr>
            </w:pPr>
            <w:r>
              <w:rPr>
                <w:rFonts w:hint="eastAsia"/>
                <w:sz w:val="24"/>
                <w:szCs w:val="20"/>
              </w:rPr>
              <w:t>序号</w:t>
            </w:r>
          </w:p>
        </w:tc>
        <w:tc>
          <w:tcPr>
            <w:tcW w:w="407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sz w:val="24"/>
                <w:szCs w:val="20"/>
              </w:rPr>
            </w:pPr>
            <w:r>
              <w:rPr>
                <w:rFonts w:hint="eastAsia"/>
                <w:sz w:val="24"/>
                <w:szCs w:val="20"/>
              </w:rPr>
              <w:t>货物名称</w:t>
            </w:r>
          </w:p>
        </w:tc>
        <w:tc>
          <w:tcPr>
            <w:tcW w:w="253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sz w:val="24"/>
                <w:szCs w:val="20"/>
              </w:rPr>
            </w:pPr>
            <w:r>
              <w:rPr>
                <w:rFonts w:hint="eastAsia"/>
                <w:sz w:val="24"/>
                <w:szCs w:val="20"/>
                <w:lang w:eastAsia="zh-CN"/>
              </w:rPr>
              <w:t>单价</w:t>
            </w:r>
            <w:r>
              <w:rPr>
                <w:rFonts w:hint="eastAsia"/>
                <w:sz w:val="24"/>
                <w:szCs w:val="20"/>
              </w:rPr>
              <w:t>（元）</w:t>
            </w:r>
          </w:p>
        </w:tc>
        <w:tc>
          <w:tcPr>
            <w:tcW w:w="3685"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sz w:val="24"/>
                <w:szCs w:val="20"/>
              </w:rPr>
            </w:pPr>
            <w:r>
              <w:rPr>
                <w:rFonts w:hint="eastAsia"/>
                <w:sz w:val="24"/>
                <w:szCs w:val="20"/>
                <w:lang w:eastAsia="zh-CN"/>
              </w:rPr>
              <w:t>总</w:t>
            </w:r>
            <w:r>
              <w:rPr>
                <w:sz w:val="24"/>
                <w:szCs w:val="20"/>
              </w:rPr>
              <w:t>价</w:t>
            </w:r>
            <w:r>
              <w:rPr>
                <w:rFonts w:hint="eastAsia"/>
                <w:sz w:val="24"/>
                <w:szCs w:val="20"/>
              </w:rPr>
              <w:t>（元/</w:t>
            </w:r>
            <w:r>
              <w:rPr>
                <w:rFonts w:hint="eastAsia"/>
                <w:sz w:val="24"/>
                <w:szCs w:val="20"/>
                <w:lang w:val="en-US" w:eastAsia="zh-CN"/>
              </w:rPr>
              <w:t>3</w:t>
            </w:r>
            <w:r>
              <w:rPr>
                <w:rFonts w:hint="eastAsia"/>
                <w:sz w:val="24"/>
                <w:szCs w:val="20"/>
              </w:rPr>
              <w:t>年）</w:t>
            </w:r>
          </w:p>
        </w:tc>
        <w:tc>
          <w:tcPr>
            <w:tcW w:w="1843"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sz w:val="24"/>
                <w:szCs w:val="20"/>
              </w:rPr>
            </w:pPr>
            <w:r>
              <w:rPr>
                <w:rFonts w:hint="eastAsia"/>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08"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sz w:val="24"/>
                <w:szCs w:val="20"/>
              </w:rPr>
            </w:pPr>
            <w:r>
              <w:rPr>
                <w:rFonts w:hint="eastAsia"/>
                <w:sz w:val="24"/>
                <w:szCs w:val="20"/>
              </w:rPr>
              <w:t>1</w:t>
            </w:r>
          </w:p>
        </w:tc>
        <w:tc>
          <w:tcPr>
            <w:tcW w:w="407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sz w:val="28"/>
                <w:szCs w:val="20"/>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sz w:val="28"/>
                <w:szCs w:val="20"/>
              </w:rPr>
            </w:pPr>
          </w:p>
        </w:tc>
        <w:tc>
          <w:tcPr>
            <w:tcW w:w="3685"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sz w:val="28"/>
                <w:szCs w:val="20"/>
              </w:rPr>
            </w:pPr>
          </w:p>
        </w:tc>
        <w:tc>
          <w:tcPr>
            <w:tcW w:w="1843"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145" w:type="dxa"/>
            <w:gridSpan w:val="5"/>
            <w:tcBorders>
              <w:top w:val="single" w:color="auto" w:sz="4" w:space="0"/>
              <w:left w:val="single" w:color="auto" w:sz="8" w:space="0"/>
              <w:bottom w:val="single" w:color="auto" w:sz="4" w:space="0"/>
              <w:right w:val="single" w:color="auto" w:sz="8" w:space="0"/>
            </w:tcBorders>
            <w:vAlign w:val="top"/>
          </w:tcPr>
          <w:p>
            <w:pPr>
              <w:spacing w:line="432" w:lineRule="auto"/>
              <w:rPr>
                <w:sz w:val="28"/>
                <w:szCs w:val="20"/>
              </w:rPr>
            </w:pPr>
            <w:r>
              <w:rPr>
                <w:rFonts w:hint="eastAsia"/>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3145" w:type="dxa"/>
            <w:gridSpan w:val="5"/>
            <w:tcBorders>
              <w:top w:val="single" w:color="auto" w:sz="4" w:space="0"/>
              <w:left w:val="single" w:color="auto" w:sz="8" w:space="0"/>
              <w:bottom w:val="single" w:color="auto" w:sz="8" w:space="0"/>
              <w:right w:val="single" w:color="auto" w:sz="8" w:space="0"/>
            </w:tcBorders>
            <w:vAlign w:val="top"/>
          </w:tcPr>
          <w:p>
            <w:pPr>
              <w:spacing w:line="432" w:lineRule="auto"/>
              <w:rPr>
                <w:sz w:val="28"/>
                <w:szCs w:val="20"/>
              </w:rPr>
            </w:pPr>
            <w:r>
              <w:rPr>
                <w:rFonts w:hint="eastAsia"/>
                <w:sz w:val="28"/>
                <w:szCs w:val="20"/>
              </w:rPr>
              <w:t>其他说明：</w:t>
            </w:r>
          </w:p>
        </w:tc>
      </w:tr>
    </w:tbl>
    <w:p>
      <w:pPr>
        <w:ind w:left="210" w:leftChars="100" w:firstLine="720" w:firstLineChars="300"/>
        <w:rPr>
          <w:rFonts w:hint="eastAsia" w:ascii="宋体" w:hAnsi="宋体"/>
          <w:sz w:val="24"/>
          <w:szCs w:val="20"/>
          <w:u w:val="single"/>
        </w:rPr>
      </w:pPr>
    </w:p>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3"/>
        <w:rPr>
          <w:rFonts w:ascii="宋体" w:hAnsi="宋体" w:eastAsia="宋体"/>
          <w:sz w:val="24"/>
        </w:rPr>
      </w:pPr>
      <w:r>
        <w:rPr>
          <w:rFonts w:ascii="宋体" w:hAnsi="宋体" w:eastAsia="宋体"/>
          <w:sz w:val="24"/>
        </w:rPr>
        <w:t xml:space="preserve">                    </w:t>
      </w:r>
    </w:p>
    <w:p>
      <w:pPr>
        <w:ind w:left="900" w:leftChars="86" w:hanging="720" w:hangingChars="300"/>
        <w:rPr>
          <w:rFonts w:hint="eastAsia" w:ascii="宋体" w:hAnsi="宋体"/>
          <w:sz w:val="24"/>
        </w:rPr>
      </w:pPr>
      <w:r>
        <w:rPr>
          <w:rFonts w:hint="eastAsia" w:ascii="宋体" w:hAnsi="宋体"/>
          <w:sz w:val="24"/>
        </w:rPr>
        <w:t>注：1.除投标文件中应有此表外，还应按“投标人须知”的规定密封标记并与投标保证金汇款凭证、投标保证金退还联系函一起密封并单独提交，以方便唱标。</w:t>
      </w:r>
    </w:p>
    <w:p>
      <w:pPr>
        <w:ind w:left="900" w:leftChars="86" w:hanging="720" w:hangingChars="300"/>
        <w:rPr>
          <w:rFonts w:hint="eastAsia" w:ascii="宋体" w:hAnsi="宋体"/>
          <w:sz w:val="24"/>
        </w:rPr>
      </w:pPr>
      <w:r>
        <w:rPr>
          <w:rFonts w:hint="eastAsia" w:ascii="宋体" w:hAnsi="宋体"/>
          <w:sz w:val="24"/>
        </w:rPr>
        <w:t xml:space="preserve">    2.此表必须按包号提供。</w:t>
      </w:r>
    </w:p>
    <w:p>
      <w:pPr>
        <w:ind w:left="840" w:leftChars="286" w:hanging="240" w:hangingChars="100"/>
        <w:rPr>
          <w:rFonts w:ascii="宋体" w:hAnsi="宋体"/>
          <w:sz w:val="24"/>
        </w:rPr>
      </w:pPr>
      <w:r>
        <w:rPr>
          <w:rFonts w:hint="eastAsia" w:ascii="宋体" w:hAnsi="宋体"/>
          <w:sz w:val="24"/>
        </w:rPr>
        <w:t xml:space="preserve">    </w:t>
      </w:r>
      <w:r>
        <w:rPr>
          <w:rFonts w:hint="eastAsia" w:ascii="宋体" w:hAnsi="宋体"/>
          <w:b/>
          <w:sz w:val="24"/>
        </w:rPr>
        <w:t>3.</w:t>
      </w:r>
      <w:r>
        <w:rPr>
          <w:rFonts w:hint="eastAsia" w:ascii="宋体" w:hAnsi="宋体"/>
          <w:b/>
          <w:sz w:val="24"/>
          <w:szCs w:val="20"/>
        </w:rPr>
        <w:t>投标总价为所投货物单价*预计年使用量*</w:t>
      </w:r>
      <w:r>
        <w:rPr>
          <w:rFonts w:hint="eastAsia" w:ascii="宋体" w:hAnsi="宋体"/>
          <w:b/>
          <w:sz w:val="24"/>
          <w:szCs w:val="20"/>
          <w:lang w:val="en-US" w:eastAsia="zh-CN"/>
        </w:rPr>
        <w:t>3</w:t>
      </w:r>
      <w:r>
        <w:rPr>
          <w:rFonts w:hint="eastAsia" w:ascii="宋体" w:hAnsi="宋体"/>
          <w:b/>
          <w:sz w:val="24"/>
          <w:szCs w:val="20"/>
        </w:rPr>
        <w:t>年的总价</w:t>
      </w:r>
    </w:p>
    <w:p>
      <w:pPr>
        <w:ind w:left="900" w:leftChars="86" w:hanging="720" w:hangingChars="300"/>
        <w:rPr>
          <w:rFonts w:ascii="宋体" w:hAnsi="宋体"/>
          <w:sz w:val="24"/>
        </w:rPr>
      </w:pP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w:t>
      </w:r>
      <w:r>
        <w:rPr>
          <w:rFonts w:hint="eastAsia" w:ascii="宋体" w:hAnsi="宋体"/>
          <w:b/>
          <w:bCs/>
          <w:sz w:val="28"/>
          <w:szCs w:val="28"/>
          <w:lang w:eastAsia="zh-CN"/>
        </w:rPr>
        <w:t>.</w:t>
      </w:r>
      <w:r>
        <w:rPr>
          <w:rFonts w:hint="eastAsia" w:ascii="宋体" w:hAnsi="宋体"/>
          <w:b/>
          <w:bCs/>
          <w:sz w:val="28"/>
          <w:szCs w:val="28"/>
          <w:lang w:val="en-US" w:eastAsia="zh-CN"/>
        </w:rPr>
        <w:t>试剂</w:t>
      </w:r>
      <w:r>
        <w:rPr>
          <w:rFonts w:hint="eastAsia" w:ascii="宋体" w:hAnsi="宋体"/>
          <w:b/>
          <w:bCs/>
          <w:sz w:val="28"/>
          <w:szCs w:val="28"/>
        </w:rPr>
        <w:t>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4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44"/>
        <w:gridCol w:w="1286"/>
        <w:gridCol w:w="1559"/>
        <w:gridCol w:w="853"/>
        <w:gridCol w:w="853"/>
        <w:gridCol w:w="956"/>
        <w:gridCol w:w="1701"/>
        <w:gridCol w:w="1426"/>
        <w:gridCol w:w="1139"/>
        <w:gridCol w:w="117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1139"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人份</w:t>
            </w:r>
            <w:r>
              <w:rPr>
                <w:rFonts w:hint="eastAsia" w:ascii="宋体" w:hAnsi="宋体"/>
                <w:b/>
                <w:sz w:val="24"/>
              </w:rPr>
              <w:t>）</w:t>
            </w:r>
          </w:p>
        </w:tc>
        <w:tc>
          <w:tcPr>
            <w:tcW w:w="2098"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lang w:val="en-US" w:eastAsia="zh-CN"/>
              </w:rPr>
              <w:t>注册证</w:t>
            </w:r>
            <w:r>
              <w:rPr>
                <w:rFonts w:hint="eastAsia" w:ascii="宋体" w:hAnsi="宋体"/>
                <w:b/>
                <w:sz w:val="24"/>
              </w:rPr>
              <w:t>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1139" w:type="dxa"/>
            <w:vMerge w:val="continue"/>
            <w:vAlign w:val="center"/>
          </w:tcPr>
          <w:p>
            <w:pPr>
              <w:jc w:val="center"/>
              <w:rPr>
                <w:rFonts w:ascii="宋体" w:hAnsi="宋体"/>
                <w:b/>
                <w:sz w:val="24"/>
              </w:rPr>
            </w:pPr>
          </w:p>
        </w:tc>
        <w:tc>
          <w:tcPr>
            <w:tcW w:w="1172" w:type="dxa"/>
            <w:vAlign w:val="center"/>
          </w:tcPr>
          <w:p>
            <w:pPr>
              <w:spacing w:before="120" w:after="120"/>
              <w:jc w:val="center"/>
              <w:rPr>
                <w:rFonts w:ascii="宋体" w:hAnsi="宋体"/>
                <w:b/>
                <w:sz w:val="24"/>
              </w:rPr>
            </w:pPr>
            <w:r>
              <w:rPr>
                <w:rFonts w:hint="eastAsia" w:ascii="宋体" w:hAnsi="宋体"/>
                <w:b/>
                <w:sz w:val="24"/>
              </w:rPr>
              <w:t>预计年使用量</w:t>
            </w:r>
          </w:p>
        </w:tc>
        <w:tc>
          <w:tcPr>
            <w:tcW w:w="926"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1139" w:type="dxa"/>
            <w:vAlign w:val="center"/>
          </w:tcPr>
          <w:p>
            <w:pPr>
              <w:jc w:val="center"/>
              <w:rPr>
                <w:rFonts w:ascii="宋体" w:hAnsi="宋体"/>
                <w:sz w:val="24"/>
              </w:rPr>
            </w:pPr>
          </w:p>
        </w:tc>
        <w:tc>
          <w:tcPr>
            <w:tcW w:w="1172" w:type="dxa"/>
            <w:vAlign w:val="center"/>
          </w:tcPr>
          <w:p>
            <w:pPr>
              <w:spacing w:before="120" w:after="120"/>
              <w:jc w:val="center"/>
              <w:rPr>
                <w:rFonts w:ascii="宋体" w:hAnsi="宋体"/>
                <w:b/>
                <w:sz w:val="24"/>
              </w:rPr>
            </w:pPr>
          </w:p>
        </w:tc>
        <w:tc>
          <w:tcPr>
            <w:tcW w:w="926"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1139" w:type="dxa"/>
            <w:vAlign w:val="center"/>
          </w:tcPr>
          <w:p>
            <w:pPr>
              <w:jc w:val="center"/>
              <w:rPr>
                <w:rFonts w:ascii="宋体" w:hAnsi="宋体"/>
                <w:sz w:val="24"/>
              </w:rPr>
            </w:pPr>
          </w:p>
        </w:tc>
        <w:tc>
          <w:tcPr>
            <w:tcW w:w="1172" w:type="dxa"/>
            <w:vAlign w:val="center"/>
          </w:tcPr>
          <w:p>
            <w:pPr>
              <w:spacing w:before="120" w:after="120"/>
              <w:jc w:val="center"/>
              <w:rPr>
                <w:rFonts w:ascii="宋体" w:hAnsi="宋体"/>
                <w:b/>
                <w:sz w:val="24"/>
              </w:rPr>
            </w:pPr>
          </w:p>
        </w:tc>
        <w:tc>
          <w:tcPr>
            <w:tcW w:w="926"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1139" w:type="dxa"/>
            <w:vAlign w:val="center"/>
          </w:tcPr>
          <w:p>
            <w:pPr>
              <w:jc w:val="center"/>
              <w:rPr>
                <w:rFonts w:ascii="宋体" w:hAnsi="宋体"/>
                <w:sz w:val="24"/>
              </w:rPr>
            </w:pPr>
          </w:p>
        </w:tc>
        <w:tc>
          <w:tcPr>
            <w:tcW w:w="1172" w:type="dxa"/>
            <w:vAlign w:val="center"/>
          </w:tcPr>
          <w:p>
            <w:pPr>
              <w:spacing w:before="120" w:after="120"/>
              <w:jc w:val="center"/>
              <w:rPr>
                <w:rFonts w:ascii="宋体" w:hAnsi="宋体"/>
                <w:b/>
                <w:sz w:val="24"/>
              </w:rPr>
            </w:pPr>
          </w:p>
        </w:tc>
        <w:tc>
          <w:tcPr>
            <w:tcW w:w="926"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52" w:type="dxa"/>
            <w:gridSpan w:val="9"/>
            <w:vAlign w:val="center"/>
          </w:tcPr>
          <w:p>
            <w:pPr>
              <w:jc w:val="center"/>
              <w:rPr>
                <w:rFonts w:hint="eastAsia" w:ascii="宋体" w:hAnsi="宋体"/>
                <w:b/>
                <w:bCs/>
                <w:sz w:val="24"/>
              </w:rPr>
            </w:pPr>
            <w:r>
              <w:rPr>
                <w:rFonts w:hint="eastAsia" w:ascii="宋体" w:hAnsi="宋体"/>
                <w:b/>
                <w:bCs/>
                <w:sz w:val="24"/>
              </w:rPr>
              <w:t>合计</w:t>
            </w:r>
          </w:p>
        </w:tc>
        <w:tc>
          <w:tcPr>
            <w:tcW w:w="1139" w:type="dxa"/>
            <w:vAlign w:val="center"/>
          </w:tcPr>
          <w:p>
            <w:pPr>
              <w:spacing w:before="120" w:after="120"/>
              <w:jc w:val="center"/>
              <w:rPr>
                <w:rFonts w:ascii="宋体" w:hAnsi="宋体"/>
                <w:b/>
                <w:bCs/>
                <w:sz w:val="24"/>
              </w:rPr>
            </w:pPr>
          </w:p>
        </w:tc>
        <w:tc>
          <w:tcPr>
            <w:tcW w:w="2098"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spacing w:before="120" w:after="120" w:line="300" w:lineRule="exact"/>
        <w:jc w:val="left"/>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r>
        <w:rPr>
          <w:rFonts w:ascii="宋体" w:hAnsi="宋体"/>
          <w:sz w:val="24"/>
        </w:rPr>
        <w:br w:type="page"/>
      </w:r>
    </w:p>
    <w:p>
      <w:pPr>
        <w:pStyle w:val="4"/>
        <w:rPr>
          <w:rFonts w:ascii="宋体" w:hAnsi="宋体"/>
          <w:bCs/>
          <w:szCs w:val="28"/>
        </w:rPr>
      </w:pPr>
      <w:r>
        <w:rPr>
          <w:rFonts w:hint="eastAsia" w:ascii="宋体" w:hAnsi="宋体"/>
          <w:bCs/>
          <w:szCs w:val="28"/>
        </w:rPr>
        <w:t>5</w:t>
      </w:r>
      <w:r>
        <w:rPr>
          <w:rFonts w:ascii="宋体" w:hAnsi="宋体"/>
          <w:bCs/>
          <w:szCs w:val="28"/>
        </w:rPr>
        <w:t xml:space="preserve">. </w:t>
      </w:r>
      <w:r>
        <w:rPr>
          <w:rFonts w:hint="eastAsia" w:ascii="宋体" w:hAnsi="宋体"/>
          <w:bCs/>
          <w:szCs w:val="28"/>
        </w:rPr>
        <w:t>响应/偏离表</w:t>
      </w:r>
    </w:p>
    <w:p>
      <w:pPr>
        <w:pStyle w:val="3"/>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657"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919"/>
        <w:gridCol w:w="1594"/>
        <w:gridCol w:w="1594"/>
        <w:gridCol w:w="1366"/>
        <w:gridCol w:w="113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1046"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91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94"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w:t>
            </w:r>
            <w:r>
              <w:rPr>
                <w:rFonts w:hint="eastAsia" w:ascii="宋体"/>
                <w:sz w:val="24"/>
                <w:lang w:val="en-US" w:eastAsia="zh-CN"/>
              </w:rPr>
              <w:t>及技术要求（参数）</w:t>
            </w:r>
          </w:p>
        </w:tc>
        <w:tc>
          <w:tcPr>
            <w:tcW w:w="1594"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w:t>
            </w:r>
            <w:r>
              <w:rPr>
                <w:rFonts w:hint="eastAsia" w:ascii="宋体"/>
                <w:sz w:val="24"/>
                <w:lang w:val="en-US" w:eastAsia="zh-CN"/>
              </w:rPr>
              <w:t>及技术响应</w:t>
            </w:r>
          </w:p>
        </w:tc>
        <w:tc>
          <w:tcPr>
            <w:tcW w:w="1366"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13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046"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91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366"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13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046"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91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366"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13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46"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919"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366"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13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3"/>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904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0"/>
        <w:gridCol w:w="2260"/>
        <w:gridCol w:w="226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26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260"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260"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260"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2260"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260" w:type="dxa"/>
            <w:tcBorders>
              <w:left w:val="single" w:color="auto" w:sz="4" w:space="0"/>
              <w:right w:val="single" w:color="auto" w:sz="4" w:space="0"/>
            </w:tcBorders>
            <w:vAlign w:val="center"/>
          </w:tcPr>
          <w:p>
            <w:pPr>
              <w:spacing w:before="120"/>
              <w:jc w:val="center"/>
              <w:rPr>
                <w:rFonts w:hint="eastAsia" w:ascii="宋体" w:eastAsia="宋体"/>
                <w:sz w:val="24"/>
                <w:lang w:val="en-US" w:eastAsia="zh-CN"/>
              </w:rPr>
            </w:pPr>
            <w:r>
              <w:rPr>
                <w:rFonts w:hint="eastAsia" w:ascii="宋体"/>
                <w:sz w:val="24"/>
                <w:lang w:val="en-US" w:eastAsia="zh-CN"/>
              </w:rPr>
              <w:t>付款方式</w:t>
            </w:r>
          </w:p>
        </w:tc>
        <w:tc>
          <w:tcPr>
            <w:tcW w:w="2260" w:type="dxa"/>
            <w:tcBorders>
              <w:left w:val="single" w:color="auto" w:sz="4" w:space="0"/>
              <w:right w:val="single" w:color="auto" w:sz="4" w:space="0"/>
            </w:tcBorders>
            <w:vAlign w:val="center"/>
          </w:tcPr>
          <w:p>
            <w:pPr>
              <w:spacing w:before="120"/>
              <w:rPr>
                <w:rFonts w:ascii="宋体"/>
                <w:sz w:val="24"/>
              </w:rPr>
            </w:pPr>
          </w:p>
        </w:tc>
        <w:tc>
          <w:tcPr>
            <w:tcW w:w="2260"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2260"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260" w:type="dxa"/>
            <w:tcBorders>
              <w:left w:val="single" w:color="auto" w:sz="4" w:space="0"/>
              <w:right w:val="single" w:color="auto" w:sz="4" w:space="0"/>
            </w:tcBorders>
            <w:vAlign w:val="center"/>
          </w:tcPr>
          <w:p>
            <w:pPr>
              <w:spacing w:before="120"/>
              <w:jc w:val="center"/>
              <w:rPr>
                <w:rFonts w:hint="eastAsia" w:ascii="宋体" w:eastAsia="宋体"/>
                <w:sz w:val="24"/>
                <w:lang w:val="en-US" w:eastAsia="zh-CN"/>
              </w:rPr>
            </w:pPr>
            <w:r>
              <w:rPr>
                <w:rFonts w:hint="eastAsia" w:ascii="宋体"/>
                <w:sz w:val="24"/>
                <w:lang w:val="en-US" w:eastAsia="zh-CN"/>
              </w:rPr>
              <w:t>交货期</w:t>
            </w:r>
          </w:p>
        </w:tc>
        <w:tc>
          <w:tcPr>
            <w:tcW w:w="2260" w:type="dxa"/>
            <w:tcBorders>
              <w:left w:val="single" w:color="auto" w:sz="4" w:space="0"/>
              <w:right w:val="single" w:color="auto" w:sz="4" w:space="0"/>
            </w:tcBorders>
            <w:vAlign w:val="center"/>
          </w:tcPr>
          <w:p>
            <w:pPr>
              <w:spacing w:before="120"/>
              <w:rPr>
                <w:rFonts w:ascii="宋体"/>
                <w:sz w:val="24"/>
              </w:rPr>
            </w:pPr>
          </w:p>
        </w:tc>
        <w:tc>
          <w:tcPr>
            <w:tcW w:w="2260"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2260"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260" w:type="dxa"/>
            <w:tcBorders>
              <w:left w:val="single" w:color="auto" w:sz="4" w:space="0"/>
              <w:right w:val="single" w:color="auto" w:sz="4" w:space="0"/>
            </w:tcBorders>
            <w:vAlign w:val="center"/>
          </w:tcPr>
          <w:p>
            <w:pPr>
              <w:spacing w:before="120"/>
              <w:jc w:val="center"/>
              <w:rPr>
                <w:rFonts w:hint="default" w:ascii="宋体" w:eastAsia="宋体"/>
                <w:sz w:val="24"/>
                <w:lang w:val="en-US" w:eastAsia="zh-CN"/>
              </w:rPr>
            </w:pPr>
            <w:r>
              <w:rPr>
                <w:rFonts w:hint="eastAsia" w:ascii="宋体"/>
                <w:sz w:val="24"/>
                <w:lang w:val="en-US" w:eastAsia="zh-CN"/>
              </w:rPr>
              <w:t>......</w:t>
            </w:r>
          </w:p>
        </w:tc>
        <w:tc>
          <w:tcPr>
            <w:tcW w:w="2260" w:type="dxa"/>
            <w:tcBorders>
              <w:left w:val="single" w:color="auto" w:sz="4" w:space="0"/>
              <w:right w:val="single" w:color="auto" w:sz="4" w:space="0"/>
            </w:tcBorders>
            <w:vAlign w:val="center"/>
          </w:tcPr>
          <w:p>
            <w:pPr>
              <w:spacing w:before="120"/>
              <w:rPr>
                <w:rFonts w:ascii="宋体"/>
                <w:sz w:val="24"/>
              </w:rPr>
            </w:pPr>
          </w:p>
        </w:tc>
        <w:tc>
          <w:tcPr>
            <w:tcW w:w="2260" w:type="dxa"/>
            <w:tcBorders>
              <w:left w:val="single" w:color="auto" w:sz="4" w:space="0"/>
              <w:right w:val="single" w:color="auto" w:sz="4" w:space="0"/>
            </w:tcBorders>
            <w:vAlign w:val="center"/>
          </w:tcPr>
          <w:p>
            <w:pPr>
              <w:spacing w:before="120"/>
              <w:rPr>
                <w:rFonts w:ascii="宋体"/>
                <w:sz w:val="24"/>
              </w:rPr>
            </w:pPr>
          </w:p>
        </w:tc>
      </w:tr>
    </w:tbl>
    <w:p>
      <w:pPr>
        <w:pStyle w:val="3"/>
      </w:pPr>
    </w:p>
    <w:p>
      <w:pPr>
        <w:pStyle w:val="3"/>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w:t>
      </w:r>
      <w:r>
        <w:rPr>
          <w:rFonts w:hint="eastAsia" w:ascii="宋体" w:eastAsia="宋体"/>
          <w:b/>
          <w:sz w:val="24"/>
          <w:lang w:val="en-US" w:eastAsia="zh-CN"/>
        </w:rPr>
        <w:t>人</w:t>
      </w:r>
      <w:r>
        <w:rPr>
          <w:rFonts w:hint="eastAsia" w:ascii="宋体" w:eastAsia="宋体"/>
          <w:b/>
          <w:sz w:val="24"/>
        </w:rPr>
        <w:t>必须逐项对应描述投标货物</w:t>
      </w:r>
      <w:r>
        <w:rPr>
          <w:rFonts w:hint="eastAsia" w:ascii="宋体" w:eastAsia="宋体"/>
          <w:b/>
          <w:sz w:val="24"/>
          <w:lang w:val="en-US" w:eastAsia="zh-CN"/>
        </w:rPr>
        <w:t>的规格及参数</w:t>
      </w:r>
      <w:r>
        <w:rPr>
          <w:rFonts w:hint="eastAsia" w:ascii="宋体" w:eastAsia="宋体"/>
          <w:b/>
          <w:sz w:val="24"/>
        </w:rPr>
        <w:t>，如不进行描述，仅在响应栏填“响应”或未填写或复制招标文件技术参数的，均可能</w:t>
      </w:r>
      <w:r>
        <w:rPr>
          <w:rFonts w:hint="eastAsia" w:ascii="宋体" w:eastAsia="宋体"/>
          <w:b/>
          <w:sz w:val="24"/>
          <w:lang w:val="en-US" w:eastAsia="zh-CN"/>
        </w:rPr>
        <w:t>视为不响应招标文件要求</w:t>
      </w:r>
      <w:r>
        <w:rPr>
          <w:rFonts w:hint="eastAsia" w:ascii="宋体" w:eastAsia="宋体"/>
          <w:b/>
          <w:sz w:val="24"/>
        </w:rPr>
        <w:t>；</w:t>
      </w:r>
    </w:p>
    <w:p>
      <w:pPr>
        <w:pStyle w:val="10"/>
        <w:rPr>
          <w:rFonts w:hint="eastAsia" w:ascii="宋体" w:eastAsia="宋体"/>
          <w:b/>
          <w:sz w:val="24"/>
        </w:rPr>
      </w:pPr>
      <w:r>
        <w:rPr>
          <w:rFonts w:hint="eastAsia" w:ascii="宋体" w:eastAsia="宋体"/>
          <w:b/>
          <w:sz w:val="24"/>
        </w:rPr>
        <w:t>2、投标</w:t>
      </w:r>
      <w:r>
        <w:rPr>
          <w:rFonts w:hint="eastAsia" w:ascii="宋体" w:eastAsia="宋体"/>
          <w:b/>
          <w:sz w:val="24"/>
          <w:lang w:val="en-US" w:eastAsia="zh-CN"/>
        </w:rPr>
        <w:t>人</w:t>
      </w:r>
      <w:r>
        <w:rPr>
          <w:rFonts w:hint="eastAsia" w:ascii="宋体" w:eastAsia="宋体"/>
          <w:b/>
          <w:sz w:val="24"/>
        </w:rPr>
        <w:t>所投产品如与招标文件要求的规格</w:t>
      </w:r>
      <w:r>
        <w:rPr>
          <w:rFonts w:hint="eastAsia" w:ascii="宋体" w:eastAsia="宋体"/>
          <w:b/>
          <w:sz w:val="24"/>
          <w:lang w:eastAsia="zh-CN"/>
        </w:rPr>
        <w:t>、</w:t>
      </w:r>
      <w:r>
        <w:rPr>
          <w:rFonts w:hint="eastAsia" w:ascii="宋体" w:eastAsia="宋体"/>
          <w:b/>
          <w:sz w:val="24"/>
          <w:lang w:val="en-US" w:eastAsia="zh-CN"/>
        </w:rPr>
        <w:t>参数</w:t>
      </w:r>
      <w:r>
        <w:rPr>
          <w:rFonts w:hint="eastAsia" w:ascii="宋体" w:eastAsia="宋体"/>
          <w:b/>
          <w:sz w:val="24"/>
        </w:rPr>
        <w:t>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4"/>
        <w:rPr>
          <w:rFonts w:ascii="宋体" w:hAnsi="宋体"/>
          <w:bCs/>
          <w:szCs w:val="28"/>
        </w:rPr>
      </w:pPr>
      <w:r>
        <w:rPr>
          <w:bCs/>
          <w:sz w:val="30"/>
        </w:rPr>
        <w:br w:type="page"/>
      </w:r>
      <w:r>
        <w:rPr>
          <w:rFonts w:hint="eastAsia" w:ascii="宋体" w:hAnsi="宋体"/>
          <w:bCs/>
          <w:szCs w:val="28"/>
        </w:rPr>
        <w:t>6</w:t>
      </w:r>
      <w:r>
        <w:rPr>
          <w:rFonts w:ascii="宋体" w:hAnsi="宋体"/>
          <w:bCs/>
          <w:szCs w:val="28"/>
        </w:rPr>
        <w:t xml:space="preserve">. </w:t>
      </w:r>
      <w:r>
        <w:rPr>
          <w:rFonts w:hint="eastAsia" w:ascii="宋体" w:hAnsi="宋体"/>
          <w:bCs/>
          <w:szCs w:val="28"/>
        </w:rPr>
        <w:t>法定代表人授权书格式</w:t>
      </w:r>
    </w:p>
    <w:p>
      <w:pPr>
        <w:pStyle w:val="3"/>
      </w:pPr>
    </w:p>
    <w:p>
      <w:pPr>
        <w:pStyle w:val="3"/>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19"/>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19"/>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19"/>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（制造商参加投标的，不需提供此函）</w:t>
      </w:r>
    </w:p>
    <w:p>
      <w:pPr>
        <w:jc w:val="center"/>
        <w:rPr>
          <w:rFonts w:ascii="黑体" w:eastAsia="黑体"/>
          <w:sz w:val="32"/>
        </w:rPr>
      </w:pP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19"/>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19"/>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19"/>
        <w:rPr>
          <w:rFonts w:hint="eastAsia" w:ascii="宋体"/>
          <w:b/>
          <w:sz w:val="24"/>
        </w:rPr>
      </w:pPr>
      <w:r>
        <w:rPr>
          <w:rFonts w:hint="eastAsia" w:ascii="宋体"/>
          <w:b/>
          <w:sz w:val="24"/>
        </w:rPr>
        <w:t>2、格式自拟。</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19"/>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sz w:val="24"/>
        </w:rPr>
      </w:pPr>
      <w:r>
        <w:rPr>
          <w:rFonts w:hint="eastAsia"/>
          <w:sz w:val="24"/>
        </w:rPr>
        <w:t>致：</w:t>
      </w:r>
      <w:r>
        <w:rPr>
          <w:rFonts w:hint="eastAsia"/>
          <w:sz w:val="24"/>
          <w:lang w:eastAsia="zh-CN"/>
        </w:rPr>
        <w:t>安徽省中西医结合医院</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19"/>
        <w:rPr>
          <w:rFonts w:hint="eastAsia" w:ascii="宋体" w:hAnsi="宋体" w:cs="宋体"/>
          <w:color w:val="000000"/>
          <w:sz w:val="24"/>
        </w:rPr>
      </w:pPr>
    </w:p>
    <w:p>
      <w:pPr>
        <w:pStyle w:val="19"/>
        <w:rPr>
          <w:rFonts w:hint="eastAsia"/>
          <w:b/>
        </w:rPr>
      </w:pPr>
    </w:p>
    <w:p>
      <w:pPr>
        <w:pStyle w:val="4"/>
        <w:spacing w:line="0" w:lineRule="atLeast"/>
        <w:rPr>
          <w:rFonts w:hint="eastAsia" w:ascii="宋体" w:hAnsi="宋体"/>
          <w:bCs/>
          <w:kern w:val="2"/>
          <w:szCs w:val="28"/>
          <w:highlight w:val="none"/>
          <w:lang w:val="en-US" w:eastAsia="zh-CN"/>
        </w:rPr>
      </w:pPr>
      <w:r>
        <w:rPr>
          <w:rFonts w:ascii="宋体" w:hAnsi="宋体"/>
          <w:b w:val="0"/>
          <w:bCs/>
          <w:sz w:val="28"/>
          <w:szCs w:val="28"/>
        </w:rPr>
        <w:br w:type="page"/>
      </w:r>
      <w:bookmarkStart w:id="8" w:name="_Toc26497"/>
      <w:r>
        <w:rPr>
          <w:rFonts w:hint="eastAsia" w:ascii="宋体" w:hAnsi="宋体"/>
          <w:bCs/>
          <w:kern w:val="2"/>
          <w:szCs w:val="28"/>
          <w:highlight w:val="none"/>
          <w:lang w:val="en-US" w:eastAsia="zh-CN"/>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highlight w:val="none"/>
              </w:rPr>
            </w:pPr>
            <w:r>
              <w:rPr>
                <w:rFonts w:ascii="Arial" w:hAnsi="Arial" w:cs="Arial"/>
                <w:sz w:val="24"/>
                <w:highlight w:val="none"/>
              </w:rPr>
              <w:t>序号</w:t>
            </w:r>
          </w:p>
        </w:tc>
        <w:tc>
          <w:tcPr>
            <w:tcW w:w="1287" w:type="dxa"/>
            <w:vAlign w:val="center"/>
          </w:tcPr>
          <w:p>
            <w:pPr>
              <w:jc w:val="center"/>
              <w:rPr>
                <w:rFonts w:ascii="Arial" w:hAnsi="Arial" w:cs="Arial"/>
                <w:sz w:val="24"/>
                <w:highlight w:val="none"/>
              </w:rPr>
            </w:pPr>
            <w:r>
              <w:rPr>
                <w:rFonts w:ascii="Arial" w:hAnsi="Arial" w:cs="Arial"/>
                <w:sz w:val="24"/>
                <w:highlight w:val="none"/>
              </w:rPr>
              <w:t>名称</w:t>
            </w:r>
          </w:p>
          <w:p>
            <w:pPr>
              <w:jc w:val="center"/>
              <w:rPr>
                <w:rFonts w:ascii="Arial" w:hAnsi="Arial" w:cs="Arial"/>
                <w:sz w:val="24"/>
                <w:highlight w:val="none"/>
              </w:rPr>
            </w:pPr>
            <w:r>
              <w:rPr>
                <w:rFonts w:ascii="Arial" w:hAnsi="Arial" w:cs="Arial"/>
                <w:sz w:val="24"/>
                <w:highlight w:val="none"/>
              </w:rPr>
              <w:t>（姓名）</w:t>
            </w:r>
          </w:p>
        </w:tc>
        <w:tc>
          <w:tcPr>
            <w:tcW w:w="2340" w:type="dxa"/>
            <w:vAlign w:val="center"/>
          </w:tcPr>
          <w:p>
            <w:pPr>
              <w:jc w:val="center"/>
              <w:rPr>
                <w:rFonts w:ascii="Arial" w:hAnsi="Arial" w:cs="Arial"/>
                <w:sz w:val="24"/>
                <w:highlight w:val="none"/>
              </w:rPr>
            </w:pPr>
            <w:r>
              <w:rPr>
                <w:rFonts w:ascii="Arial" w:hAnsi="Arial" w:cs="Arial"/>
                <w:sz w:val="24"/>
                <w:highlight w:val="none"/>
              </w:rPr>
              <w:t>统一社会信用代码</w:t>
            </w:r>
          </w:p>
          <w:p>
            <w:pPr>
              <w:jc w:val="center"/>
              <w:rPr>
                <w:rFonts w:ascii="Arial" w:hAnsi="Arial" w:cs="Arial"/>
                <w:sz w:val="24"/>
                <w:highlight w:val="none"/>
              </w:rPr>
            </w:pPr>
            <w:r>
              <w:rPr>
                <w:rFonts w:ascii="Arial" w:hAnsi="Arial" w:cs="Arial"/>
                <w:sz w:val="24"/>
                <w:highlight w:val="none"/>
              </w:rPr>
              <w:t>（身份证号）</w:t>
            </w:r>
          </w:p>
        </w:tc>
        <w:tc>
          <w:tcPr>
            <w:tcW w:w="1404" w:type="dxa"/>
            <w:vAlign w:val="center"/>
          </w:tcPr>
          <w:p>
            <w:pPr>
              <w:jc w:val="center"/>
              <w:rPr>
                <w:rFonts w:ascii="Arial" w:hAnsi="Arial" w:cs="Arial"/>
                <w:sz w:val="24"/>
                <w:highlight w:val="none"/>
              </w:rPr>
            </w:pPr>
            <w:r>
              <w:rPr>
                <w:rFonts w:ascii="Arial" w:hAnsi="Arial" w:cs="Arial"/>
                <w:sz w:val="24"/>
                <w:highlight w:val="none"/>
              </w:rPr>
              <w:t>出资方式</w:t>
            </w:r>
          </w:p>
        </w:tc>
        <w:tc>
          <w:tcPr>
            <w:tcW w:w="1493" w:type="dxa"/>
            <w:vAlign w:val="center"/>
          </w:tcPr>
          <w:p>
            <w:pPr>
              <w:jc w:val="center"/>
              <w:rPr>
                <w:rFonts w:ascii="Arial" w:hAnsi="Arial" w:cs="Arial"/>
                <w:sz w:val="24"/>
                <w:highlight w:val="none"/>
              </w:rPr>
            </w:pPr>
            <w:r>
              <w:rPr>
                <w:rFonts w:ascii="Arial" w:hAnsi="Arial" w:cs="Arial"/>
                <w:sz w:val="24"/>
                <w:highlight w:val="none"/>
              </w:rPr>
              <w:t>出资金额</w:t>
            </w:r>
          </w:p>
          <w:p>
            <w:pPr>
              <w:jc w:val="center"/>
              <w:rPr>
                <w:rFonts w:ascii="Arial" w:hAnsi="Arial" w:cs="Arial"/>
                <w:sz w:val="24"/>
                <w:highlight w:val="none"/>
              </w:rPr>
            </w:pPr>
            <w:r>
              <w:rPr>
                <w:rFonts w:ascii="Arial" w:hAnsi="Arial" w:cs="Arial"/>
                <w:sz w:val="24"/>
                <w:highlight w:val="none"/>
              </w:rPr>
              <w:t>（万元）</w:t>
            </w:r>
          </w:p>
        </w:tc>
        <w:tc>
          <w:tcPr>
            <w:tcW w:w="1315" w:type="dxa"/>
            <w:vAlign w:val="center"/>
          </w:tcPr>
          <w:p>
            <w:pPr>
              <w:jc w:val="center"/>
              <w:rPr>
                <w:rFonts w:ascii="Arial" w:hAnsi="Arial" w:cs="Arial"/>
                <w:sz w:val="24"/>
                <w:highlight w:val="none"/>
              </w:rPr>
            </w:pPr>
            <w:r>
              <w:rPr>
                <w:rFonts w:ascii="Arial" w:hAnsi="Arial" w:cs="Arial"/>
                <w:sz w:val="24"/>
                <w:highlight w:val="none"/>
              </w:rPr>
              <w:t>占全部股份比例</w:t>
            </w:r>
          </w:p>
        </w:tc>
        <w:tc>
          <w:tcPr>
            <w:tcW w:w="957" w:type="dxa"/>
            <w:vAlign w:val="center"/>
          </w:tcPr>
          <w:p>
            <w:pPr>
              <w:jc w:val="center"/>
              <w:rPr>
                <w:rFonts w:ascii="Arial" w:hAnsi="Arial" w:cs="Arial"/>
                <w:sz w:val="24"/>
                <w:highlight w:val="none"/>
              </w:rPr>
            </w:pPr>
            <w:r>
              <w:rPr>
                <w:rFonts w:ascii="Arial" w:hAnsi="Arial" w:cs="Arial"/>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highlight w:val="none"/>
              </w:rPr>
            </w:pPr>
          </w:p>
        </w:tc>
        <w:tc>
          <w:tcPr>
            <w:tcW w:w="1287" w:type="dxa"/>
            <w:vAlign w:val="center"/>
          </w:tcPr>
          <w:p>
            <w:pPr>
              <w:jc w:val="center"/>
              <w:rPr>
                <w:rFonts w:ascii="Arial" w:hAnsi="Arial" w:cs="Arial"/>
                <w:sz w:val="24"/>
                <w:highlight w:val="none"/>
              </w:rPr>
            </w:pPr>
          </w:p>
        </w:tc>
        <w:tc>
          <w:tcPr>
            <w:tcW w:w="2340" w:type="dxa"/>
            <w:vAlign w:val="center"/>
          </w:tcPr>
          <w:p>
            <w:pPr>
              <w:jc w:val="center"/>
              <w:rPr>
                <w:rFonts w:ascii="Arial" w:hAnsi="Arial" w:cs="Arial"/>
                <w:sz w:val="24"/>
                <w:highlight w:val="none"/>
              </w:rPr>
            </w:pPr>
          </w:p>
        </w:tc>
        <w:tc>
          <w:tcPr>
            <w:tcW w:w="1404" w:type="dxa"/>
            <w:vAlign w:val="center"/>
          </w:tcPr>
          <w:p>
            <w:pPr>
              <w:jc w:val="center"/>
              <w:rPr>
                <w:rFonts w:ascii="Arial" w:hAnsi="Arial" w:cs="Arial"/>
                <w:sz w:val="24"/>
                <w:highlight w:val="none"/>
              </w:rPr>
            </w:pPr>
          </w:p>
        </w:tc>
        <w:tc>
          <w:tcPr>
            <w:tcW w:w="1493" w:type="dxa"/>
            <w:vAlign w:val="center"/>
          </w:tcPr>
          <w:p>
            <w:pPr>
              <w:jc w:val="center"/>
              <w:rPr>
                <w:rFonts w:ascii="Arial" w:hAnsi="Arial" w:cs="Arial"/>
                <w:sz w:val="24"/>
                <w:highlight w:val="none"/>
              </w:rPr>
            </w:pPr>
          </w:p>
        </w:tc>
        <w:tc>
          <w:tcPr>
            <w:tcW w:w="1315" w:type="dxa"/>
            <w:vAlign w:val="center"/>
          </w:tcPr>
          <w:p>
            <w:pPr>
              <w:jc w:val="center"/>
              <w:rPr>
                <w:rFonts w:ascii="Arial" w:hAnsi="Arial" w:cs="Arial"/>
                <w:sz w:val="24"/>
                <w:highlight w:val="none"/>
              </w:rPr>
            </w:pPr>
          </w:p>
        </w:tc>
        <w:tc>
          <w:tcPr>
            <w:tcW w:w="957" w:type="dxa"/>
            <w:vAlign w:val="center"/>
          </w:tcPr>
          <w:p>
            <w:pPr>
              <w:jc w:val="center"/>
              <w:rPr>
                <w:rFonts w:ascii="Arial" w:hAnsi="Arial" w:cs="Arial"/>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highlight w:val="none"/>
              </w:rPr>
            </w:pPr>
          </w:p>
        </w:tc>
        <w:tc>
          <w:tcPr>
            <w:tcW w:w="1287" w:type="dxa"/>
            <w:vAlign w:val="center"/>
          </w:tcPr>
          <w:p>
            <w:pPr>
              <w:jc w:val="center"/>
              <w:rPr>
                <w:rFonts w:ascii="Arial" w:hAnsi="Arial" w:cs="Arial"/>
                <w:sz w:val="24"/>
                <w:highlight w:val="none"/>
              </w:rPr>
            </w:pPr>
          </w:p>
        </w:tc>
        <w:tc>
          <w:tcPr>
            <w:tcW w:w="2340" w:type="dxa"/>
            <w:vAlign w:val="center"/>
          </w:tcPr>
          <w:p>
            <w:pPr>
              <w:jc w:val="center"/>
              <w:rPr>
                <w:rFonts w:ascii="Arial" w:hAnsi="Arial" w:cs="Arial"/>
                <w:sz w:val="24"/>
                <w:highlight w:val="none"/>
              </w:rPr>
            </w:pPr>
          </w:p>
        </w:tc>
        <w:tc>
          <w:tcPr>
            <w:tcW w:w="1404" w:type="dxa"/>
            <w:vAlign w:val="center"/>
          </w:tcPr>
          <w:p>
            <w:pPr>
              <w:jc w:val="center"/>
              <w:rPr>
                <w:rFonts w:ascii="Arial" w:hAnsi="Arial" w:cs="Arial"/>
                <w:sz w:val="24"/>
                <w:highlight w:val="none"/>
              </w:rPr>
            </w:pPr>
          </w:p>
        </w:tc>
        <w:tc>
          <w:tcPr>
            <w:tcW w:w="1493" w:type="dxa"/>
            <w:vAlign w:val="center"/>
          </w:tcPr>
          <w:p>
            <w:pPr>
              <w:jc w:val="center"/>
              <w:rPr>
                <w:rFonts w:ascii="Arial" w:hAnsi="Arial" w:cs="Arial"/>
                <w:sz w:val="24"/>
                <w:highlight w:val="none"/>
              </w:rPr>
            </w:pPr>
          </w:p>
        </w:tc>
        <w:tc>
          <w:tcPr>
            <w:tcW w:w="1315" w:type="dxa"/>
            <w:vAlign w:val="center"/>
          </w:tcPr>
          <w:p>
            <w:pPr>
              <w:jc w:val="center"/>
              <w:rPr>
                <w:rFonts w:ascii="Arial" w:hAnsi="Arial" w:cs="Arial"/>
                <w:sz w:val="24"/>
                <w:highlight w:val="none"/>
              </w:rPr>
            </w:pPr>
          </w:p>
        </w:tc>
        <w:tc>
          <w:tcPr>
            <w:tcW w:w="957" w:type="dxa"/>
            <w:vAlign w:val="center"/>
          </w:tcPr>
          <w:p>
            <w:pPr>
              <w:jc w:val="center"/>
              <w:rPr>
                <w:rFonts w:ascii="Arial" w:hAnsi="Arial" w:cs="Arial"/>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highlight w:val="none"/>
              </w:rPr>
            </w:pPr>
          </w:p>
        </w:tc>
        <w:tc>
          <w:tcPr>
            <w:tcW w:w="1287" w:type="dxa"/>
            <w:vAlign w:val="center"/>
          </w:tcPr>
          <w:p>
            <w:pPr>
              <w:jc w:val="center"/>
              <w:rPr>
                <w:rFonts w:ascii="Arial" w:hAnsi="Arial" w:cs="Arial"/>
                <w:sz w:val="24"/>
                <w:highlight w:val="none"/>
              </w:rPr>
            </w:pPr>
          </w:p>
        </w:tc>
        <w:tc>
          <w:tcPr>
            <w:tcW w:w="2340" w:type="dxa"/>
            <w:vAlign w:val="center"/>
          </w:tcPr>
          <w:p>
            <w:pPr>
              <w:jc w:val="center"/>
              <w:rPr>
                <w:rFonts w:ascii="Arial" w:hAnsi="Arial" w:cs="Arial"/>
                <w:sz w:val="24"/>
                <w:highlight w:val="none"/>
              </w:rPr>
            </w:pPr>
          </w:p>
        </w:tc>
        <w:tc>
          <w:tcPr>
            <w:tcW w:w="1404" w:type="dxa"/>
            <w:vAlign w:val="center"/>
          </w:tcPr>
          <w:p>
            <w:pPr>
              <w:jc w:val="center"/>
              <w:rPr>
                <w:rFonts w:ascii="Arial" w:hAnsi="Arial" w:cs="Arial"/>
                <w:sz w:val="24"/>
                <w:highlight w:val="none"/>
              </w:rPr>
            </w:pPr>
          </w:p>
        </w:tc>
        <w:tc>
          <w:tcPr>
            <w:tcW w:w="1493" w:type="dxa"/>
            <w:vAlign w:val="center"/>
          </w:tcPr>
          <w:p>
            <w:pPr>
              <w:jc w:val="center"/>
              <w:rPr>
                <w:rFonts w:ascii="Arial" w:hAnsi="Arial" w:cs="Arial"/>
                <w:sz w:val="24"/>
                <w:highlight w:val="none"/>
              </w:rPr>
            </w:pPr>
          </w:p>
        </w:tc>
        <w:tc>
          <w:tcPr>
            <w:tcW w:w="1315" w:type="dxa"/>
            <w:vAlign w:val="center"/>
          </w:tcPr>
          <w:p>
            <w:pPr>
              <w:jc w:val="center"/>
              <w:rPr>
                <w:rFonts w:ascii="Arial" w:hAnsi="Arial" w:cs="Arial"/>
                <w:sz w:val="24"/>
                <w:highlight w:val="none"/>
              </w:rPr>
            </w:pPr>
          </w:p>
        </w:tc>
        <w:tc>
          <w:tcPr>
            <w:tcW w:w="957" w:type="dxa"/>
            <w:vAlign w:val="center"/>
          </w:tcPr>
          <w:p>
            <w:pPr>
              <w:jc w:val="center"/>
              <w:rPr>
                <w:rFonts w:ascii="Arial" w:hAnsi="Arial" w:cs="Arial"/>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highlight w:val="none"/>
              </w:rPr>
            </w:pPr>
          </w:p>
        </w:tc>
        <w:tc>
          <w:tcPr>
            <w:tcW w:w="1287" w:type="dxa"/>
            <w:vAlign w:val="center"/>
          </w:tcPr>
          <w:p>
            <w:pPr>
              <w:jc w:val="center"/>
              <w:rPr>
                <w:rFonts w:ascii="Arial" w:hAnsi="Arial" w:cs="Arial"/>
                <w:sz w:val="24"/>
                <w:highlight w:val="none"/>
              </w:rPr>
            </w:pPr>
          </w:p>
        </w:tc>
        <w:tc>
          <w:tcPr>
            <w:tcW w:w="2340" w:type="dxa"/>
            <w:vAlign w:val="center"/>
          </w:tcPr>
          <w:p>
            <w:pPr>
              <w:jc w:val="center"/>
              <w:rPr>
                <w:rFonts w:ascii="Arial" w:hAnsi="Arial" w:cs="Arial"/>
                <w:sz w:val="24"/>
                <w:highlight w:val="none"/>
              </w:rPr>
            </w:pPr>
          </w:p>
        </w:tc>
        <w:tc>
          <w:tcPr>
            <w:tcW w:w="1404" w:type="dxa"/>
            <w:vAlign w:val="center"/>
          </w:tcPr>
          <w:p>
            <w:pPr>
              <w:jc w:val="center"/>
              <w:rPr>
                <w:rFonts w:ascii="Arial" w:hAnsi="Arial" w:cs="Arial"/>
                <w:sz w:val="24"/>
                <w:highlight w:val="none"/>
              </w:rPr>
            </w:pPr>
          </w:p>
        </w:tc>
        <w:tc>
          <w:tcPr>
            <w:tcW w:w="1493" w:type="dxa"/>
            <w:vAlign w:val="center"/>
          </w:tcPr>
          <w:p>
            <w:pPr>
              <w:jc w:val="center"/>
              <w:rPr>
                <w:rFonts w:ascii="Arial" w:hAnsi="Arial" w:cs="Arial"/>
                <w:sz w:val="24"/>
                <w:highlight w:val="none"/>
              </w:rPr>
            </w:pPr>
          </w:p>
        </w:tc>
        <w:tc>
          <w:tcPr>
            <w:tcW w:w="1315" w:type="dxa"/>
            <w:vAlign w:val="center"/>
          </w:tcPr>
          <w:p>
            <w:pPr>
              <w:jc w:val="center"/>
              <w:rPr>
                <w:rFonts w:ascii="Arial" w:hAnsi="Arial" w:cs="Arial"/>
                <w:sz w:val="24"/>
                <w:highlight w:val="none"/>
              </w:rPr>
            </w:pPr>
          </w:p>
        </w:tc>
        <w:tc>
          <w:tcPr>
            <w:tcW w:w="957" w:type="dxa"/>
            <w:vAlign w:val="center"/>
          </w:tcPr>
          <w:p>
            <w:pPr>
              <w:jc w:val="center"/>
              <w:rPr>
                <w:rFonts w:ascii="Arial" w:hAnsi="Arial" w:cs="Arial"/>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highlight w:val="none"/>
              </w:rPr>
            </w:pPr>
          </w:p>
        </w:tc>
        <w:tc>
          <w:tcPr>
            <w:tcW w:w="1287" w:type="dxa"/>
            <w:vAlign w:val="center"/>
          </w:tcPr>
          <w:p>
            <w:pPr>
              <w:jc w:val="center"/>
              <w:rPr>
                <w:rFonts w:ascii="Arial" w:hAnsi="Arial" w:cs="Arial"/>
                <w:sz w:val="24"/>
                <w:highlight w:val="none"/>
              </w:rPr>
            </w:pPr>
          </w:p>
        </w:tc>
        <w:tc>
          <w:tcPr>
            <w:tcW w:w="2340" w:type="dxa"/>
            <w:vAlign w:val="center"/>
          </w:tcPr>
          <w:p>
            <w:pPr>
              <w:jc w:val="center"/>
              <w:rPr>
                <w:rFonts w:ascii="Arial" w:hAnsi="Arial" w:cs="Arial"/>
                <w:sz w:val="24"/>
                <w:highlight w:val="none"/>
              </w:rPr>
            </w:pPr>
          </w:p>
        </w:tc>
        <w:tc>
          <w:tcPr>
            <w:tcW w:w="1404" w:type="dxa"/>
            <w:vAlign w:val="center"/>
          </w:tcPr>
          <w:p>
            <w:pPr>
              <w:jc w:val="center"/>
              <w:rPr>
                <w:rFonts w:ascii="Arial" w:hAnsi="Arial" w:cs="Arial"/>
                <w:sz w:val="24"/>
                <w:highlight w:val="none"/>
              </w:rPr>
            </w:pPr>
          </w:p>
        </w:tc>
        <w:tc>
          <w:tcPr>
            <w:tcW w:w="1493" w:type="dxa"/>
            <w:vAlign w:val="center"/>
          </w:tcPr>
          <w:p>
            <w:pPr>
              <w:jc w:val="center"/>
              <w:rPr>
                <w:rFonts w:ascii="Arial" w:hAnsi="Arial" w:cs="Arial"/>
                <w:sz w:val="24"/>
                <w:highlight w:val="none"/>
              </w:rPr>
            </w:pPr>
          </w:p>
        </w:tc>
        <w:tc>
          <w:tcPr>
            <w:tcW w:w="1315" w:type="dxa"/>
            <w:vAlign w:val="center"/>
          </w:tcPr>
          <w:p>
            <w:pPr>
              <w:jc w:val="center"/>
              <w:rPr>
                <w:rFonts w:ascii="Arial" w:hAnsi="Arial" w:cs="Arial"/>
                <w:sz w:val="24"/>
                <w:highlight w:val="none"/>
              </w:rPr>
            </w:pPr>
          </w:p>
        </w:tc>
        <w:tc>
          <w:tcPr>
            <w:tcW w:w="957" w:type="dxa"/>
            <w:vAlign w:val="center"/>
          </w:tcPr>
          <w:p>
            <w:pPr>
              <w:jc w:val="center"/>
              <w:rPr>
                <w:rFonts w:ascii="Arial" w:hAnsi="Arial" w:cs="Arial"/>
                <w:sz w:val="24"/>
                <w:highlight w:val="none"/>
              </w:rPr>
            </w:pPr>
          </w:p>
        </w:tc>
      </w:tr>
    </w:tbl>
    <w:p>
      <w:pPr>
        <w:spacing w:line="480" w:lineRule="exact"/>
        <w:ind w:left="720" w:hanging="720" w:hangingChars="300"/>
        <w:rPr>
          <w:rFonts w:ascii="Arial" w:hAnsi="Arial" w:cs="Arial"/>
          <w:sz w:val="24"/>
          <w:highlight w:val="none"/>
        </w:rPr>
      </w:pPr>
    </w:p>
    <w:p>
      <w:pPr>
        <w:snapToGrid w:val="0"/>
        <w:spacing w:line="360" w:lineRule="auto"/>
        <w:rPr>
          <w:rFonts w:ascii="Arial" w:hAnsi="Arial" w:cs="Arial"/>
          <w:sz w:val="24"/>
          <w:highlight w:val="none"/>
        </w:rPr>
      </w:pPr>
      <w:r>
        <w:rPr>
          <w:rFonts w:hint="eastAsia" w:ascii="Arial" w:hAnsi="Arial" w:cs="Arial"/>
          <w:sz w:val="24"/>
          <w:highlight w:val="none"/>
        </w:rPr>
        <w:t>注：</w:t>
      </w:r>
      <w:r>
        <w:rPr>
          <w:rFonts w:ascii="Arial" w:hAnsi="Arial" w:cs="Arial"/>
          <w:sz w:val="24"/>
          <w:highlight w:val="none"/>
        </w:rPr>
        <w:t>1.</w:t>
      </w:r>
      <w:r>
        <w:rPr>
          <w:rFonts w:hint="eastAsia" w:ascii="Arial" w:hAnsi="Arial" w:cs="Arial"/>
          <w:sz w:val="24"/>
          <w:highlight w:val="none"/>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highlight w:val="none"/>
        </w:rPr>
      </w:pPr>
      <w:r>
        <w:rPr>
          <w:rFonts w:ascii="Arial" w:hAnsi="Arial" w:cs="Arial"/>
          <w:sz w:val="24"/>
          <w:highlight w:val="none"/>
        </w:rPr>
        <w:t>2.</w:t>
      </w:r>
      <w:r>
        <w:rPr>
          <w:rFonts w:hint="eastAsia" w:ascii="Arial" w:hAnsi="Arial" w:cs="Arial"/>
          <w:sz w:val="24"/>
          <w:highlight w:val="none"/>
        </w:rPr>
        <w:t>出资方式填写货币、实物、工艺产权和非专利技术、土地使用权等。</w:t>
      </w:r>
    </w:p>
    <w:p>
      <w:pPr>
        <w:snapToGrid w:val="0"/>
        <w:spacing w:line="360" w:lineRule="auto"/>
        <w:rPr>
          <w:rFonts w:ascii="Arial" w:hAnsi="Arial" w:cs="Arial"/>
          <w:sz w:val="24"/>
          <w:highlight w:val="none"/>
        </w:rPr>
      </w:pPr>
      <w:r>
        <w:rPr>
          <w:rFonts w:ascii="Arial" w:hAnsi="Arial" w:cs="Arial"/>
          <w:sz w:val="24"/>
          <w:highlight w:val="none"/>
        </w:rPr>
        <w:t>3.</w:t>
      </w:r>
      <w:r>
        <w:rPr>
          <w:rFonts w:hint="eastAsia" w:ascii="Arial" w:hAnsi="Arial" w:cs="Arial"/>
          <w:sz w:val="24"/>
          <w:highlight w:val="none"/>
        </w:rPr>
        <w:t>投标人应按照占全部股份比例从大到小依次逐个股东填写，股东数量多于</w:t>
      </w:r>
      <w:r>
        <w:rPr>
          <w:rFonts w:ascii="Arial" w:hAnsi="Arial" w:cs="Arial"/>
          <w:sz w:val="24"/>
          <w:highlight w:val="none"/>
        </w:rPr>
        <w:t>10</w:t>
      </w:r>
      <w:r>
        <w:rPr>
          <w:rFonts w:hint="eastAsia" w:ascii="Arial" w:hAnsi="Arial" w:cs="Arial"/>
          <w:sz w:val="24"/>
          <w:highlight w:val="none"/>
        </w:rPr>
        <w:t>个的，填写前</w:t>
      </w:r>
      <w:r>
        <w:rPr>
          <w:rFonts w:ascii="Arial" w:hAnsi="Arial" w:cs="Arial"/>
          <w:sz w:val="24"/>
          <w:highlight w:val="none"/>
        </w:rPr>
        <w:t>10</w:t>
      </w:r>
      <w:r>
        <w:rPr>
          <w:rFonts w:hint="eastAsia" w:ascii="Arial" w:hAnsi="Arial" w:cs="Arial"/>
          <w:sz w:val="24"/>
          <w:highlight w:val="none"/>
        </w:rPr>
        <w:t>名，不足</w:t>
      </w:r>
      <w:r>
        <w:rPr>
          <w:rFonts w:ascii="Arial" w:hAnsi="Arial" w:cs="Arial"/>
          <w:sz w:val="24"/>
          <w:highlight w:val="none"/>
        </w:rPr>
        <w:t>10</w:t>
      </w:r>
      <w:r>
        <w:rPr>
          <w:rFonts w:hint="eastAsia" w:ascii="Arial" w:hAnsi="Arial" w:cs="Arial"/>
          <w:sz w:val="24"/>
          <w:highlight w:val="none"/>
        </w:rPr>
        <w:t>个的全部填写。</w:t>
      </w:r>
    </w:p>
    <w:p>
      <w:pPr>
        <w:snapToGrid w:val="0"/>
        <w:spacing w:line="360" w:lineRule="auto"/>
        <w:rPr>
          <w:rFonts w:ascii="Arial" w:hAnsi="Arial" w:cs="Arial"/>
          <w:sz w:val="24"/>
          <w:highlight w:val="none"/>
        </w:rPr>
      </w:pPr>
      <w:r>
        <w:rPr>
          <w:rFonts w:ascii="Arial" w:hAnsi="Arial" w:cs="Arial"/>
          <w:sz w:val="24"/>
          <w:highlight w:val="none"/>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highlight w:val="none"/>
        </w:rPr>
      </w:pPr>
      <w:r>
        <w:rPr>
          <w:rFonts w:ascii="Arial" w:hAnsi="Arial" w:cs="Arial"/>
          <w:b/>
          <w:bCs/>
          <w:sz w:val="24"/>
          <w:highlight w:val="none"/>
        </w:rPr>
        <w:t>5.</w:t>
      </w:r>
      <w:r>
        <w:rPr>
          <w:rFonts w:hint="eastAsia" w:ascii="Arial" w:hAnsi="Arial" w:cs="Arial"/>
          <w:b/>
          <w:bCs/>
          <w:sz w:val="24"/>
          <w:highlight w:val="none"/>
        </w:rPr>
        <w:t>各单位应对应查询各自的信息报告，并将查询后的报告（结果）放置在本表后：</w:t>
      </w:r>
    </w:p>
    <w:p>
      <w:pPr>
        <w:snapToGrid w:val="0"/>
        <w:spacing w:line="360" w:lineRule="auto"/>
        <w:jc w:val="left"/>
        <w:rPr>
          <w:rFonts w:ascii="Arial" w:hAnsi="Arial" w:cs="Arial"/>
          <w:b/>
          <w:bCs/>
          <w:sz w:val="24"/>
          <w:highlight w:val="none"/>
        </w:rPr>
      </w:pPr>
      <w:r>
        <w:rPr>
          <w:rFonts w:hint="eastAsia" w:ascii="Arial" w:hAnsi="Arial" w:cs="Arial"/>
          <w:b/>
          <w:bCs/>
          <w:sz w:val="24"/>
          <w:highlight w:val="none"/>
        </w:rPr>
        <w:t>（</w:t>
      </w:r>
      <w:r>
        <w:rPr>
          <w:rFonts w:ascii="Arial" w:hAnsi="Arial" w:cs="Arial"/>
          <w:b/>
          <w:bCs/>
          <w:sz w:val="24"/>
          <w:highlight w:val="none"/>
        </w:rPr>
        <w:t>1</w:t>
      </w:r>
      <w:r>
        <w:rPr>
          <w:rFonts w:hint="eastAsia" w:ascii="Arial" w:hAnsi="Arial" w:cs="Arial"/>
          <w:b/>
          <w:bCs/>
          <w:sz w:val="24"/>
          <w:highlight w:val="none"/>
        </w:rPr>
        <w:t>）企业单位查询网址：国家企业信用信息公示系统</w:t>
      </w:r>
      <w:r>
        <w:rPr>
          <w:rFonts w:ascii="Arial" w:hAnsi="Arial" w:cs="Arial"/>
          <w:b/>
          <w:bCs/>
          <w:sz w:val="24"/>
          <w:highlight w:val="none"/>
        </w:rPr>
        <w:t>http://www.gsxt.gov.cn</w:t>
      </w:r>
      <w:r>
        <w:rPr>
          <w:rFonts w:hint="eastAsia" w:ascii="Arial" w:hAnsi="Arial" w:cs="Arial"/>
          <w:b/>
          <w:bCs/>
          <w:sz w:val="24"/>
          <w:highlight w:val="none"/>
        </w:rPr>
        <w:t>；</w:t>
      </w:r>
    </w:p>
    <w:p>
      <w:pPr>
        <w:snapToGrid w:val="0"/>
        <w:spacing w:line="360" w:lineRule="auto"/>
        <w:jc w:val="left"/>
        <w:rPr>
          <w:rFonts w:ascii="Arial" w:hAnsi="Arial" w:cs="Arial"/>
          <w:b/>
          <w:bCs/>
          <w:sz w:val="24"/>
          <w:highlight w:val="none"/>
        </w:rPr>
      </w:pPr>
      <w:r>
        <w:rPr>
          <w:rFonts w:hint="eastAsia" w:ascii="Arial" w:hAnsi="Arial" w:cs="Arial"/>
          <w:b/>
          <w:bCs/>
          <w:sz w:val="24"/>
          <w:highlight w:val="none"/>
        </w:rPr>
        <w:t>（</w:t>
      </w:r>
      <w:r>
        <w:rPr>
          <w:rFonts w:ascii="Arial" w:hAnsi="Arial" w:cs="Arial"/>
          <w:b/>
          <w:bCs/>
          <w:sz w:val="24"/>
          <w:highlight w:val="none"/>
        </w:rPr>
        <w:t>2</w:t>
      </w:r>
      <w:r>
        <w:rPr>
          <w:rFonts w:hint="eastAsia" w:ascii="Arial" w:hAnsi="Arial" w:cs="Arial"/>
          <w:b/>
          <w:bCs/>
          <w:sz w:val="24"/>
          <w:highlight w:val="none"/>
        </w:rPr>
        <w:t>）事业单位查询网址：全国事业单位登记查询系统</w:t>
      </w:r>
      <w:r>
        <w:rPr>
          <w:rFonts w:ascii="Arial" w:hAnsi="Arial" w:cs="Arial"/>
          <w:b/>
          <w:bCs/>
          <w:sz w:val="24"/>
          <w:highlight w:val="none"/>
        </w:rPr>
        <w:t>http://www.gjsy.gov.cn/cxzl</w:t>
      </w:r>
      <w:r>
        <w:rPr>
          <w:rFonts w:hint="eastAsia" w:ascii="Arial" w:hAnsi="Arial" w:cs="Arial"/>
          <w:b/>
          <w:bCs/>
          <w:sz w:val="24"/>
          <w:highlight w:val="none"/>
        </w:rPr>
        <w:t>；</w:t>
      </w:r>
    </w:p>
    <w:p>
      <w:pPr>
        <w:snapToGrid w:val="0"/>
        <w:spacing w:line="360" w:lineRule="auto"/>
        <w:jc w:val="left"/>
        <w:rPr>
          <w:rFonts w:ascii="Arial" w:hAnsi="Arial" w:cs="Arial"/>
          <w:b/>
          <w:bCs/>
          <w:sz w:val="24"/>
          <w:highlight w:val="none"/>
        </w:rPr>
      </w:pPr>
      <w:r>
        <w:rPr>
          <w:rFonts w:hint="eastAsia" w:ascii="Arial" w:hAnsi="Arial" w:cs="Arial"/>
          <w:b/>
          <w:bCs/>
          <w:sz w:val="24"/>
          <w:highlight w:val="none"/>
        </w:rPr>
        <w:t>（</w:t>
      </w:r>
      <w:r>
        <w:rPr>
          <w:rFonts w:ascii="Arial" w:hAnsi="Arial" w:cs="Arial"/>
          <w:b/>
          <w:bCs/>
          <w:sz w:val="24"/>
          <w:highlight w:val="none"/>
        </w:rPr>
        <w:t>3</w:t>
      </w:r>
      <w:r>
        <w:rPr>
          <w:rFonts w:hint="eastAsia" w:ascii="Arial" w:hAnsi="Arial" w:cs="Arial"/>
          <w:b/>
          <w:bCs/>
          <w:sz w:val="24"/>
          <w:highlight w:val="none"/>
        </w:rPr>
        <w:t>）团体、社会组织查询网址：中国社会组织公共服务平台</w:t>
      </w:r>
      <w:r>
        <w:rPr>
          <w:rFonts w:ascii="Arial" w:hAnsi="Arial" w:cs="Arial"/>
          <w:b/>
          <w:bCs/>
          <w:sz w:val="24"/>
          <w:highlight w:val="none"/>
        </w:rPr>
        <w:t>www.chinanpo.gov.cn/search</w:t>
      </w:r>
      <w:r>
        <w:rPr>
          <w:rFonts w:hint="eastAsia" w:ascii="Arial" w:hAnsi="Arial" w:cs="Arial"/>
          <w:b/>
          <w:bCs/>
          <w:sz w:val="24"/>
          <w:highlight w:val="none"/>
        </w:rPr>
        <w:t>；</w:t>
      </w:r>
    </w:p>
    <w:p>
      <w:pPr>
        <w:snapToGrid w:val="0"/>
        <w:spacing w:line="360" w:lineRule="auto"/>
        <w:jc w:val="left"/>
        <w:rPr>
          <w:rFonts w:hint="eastAsia" w:ascii="Arial" w:hAnsi="Arial" w:cs="Arial"/>
          <w:b/>
          <w:bCs/>
          <w:sz w:val="24"/>
          <w:highlight w:val="none"/>
        </w:rPr>
      </w:pPr>
      <w:r>
        <w:rPr>
          <w:rFonts w:hint="eastAsia" w:ascii="Arial" w:hAnsi="Arial" w:cs="Arial"/>
          <w:b/>
          <w:bCs/>
          <w:sz w:val="24"/>
          <w:highlight w:val="none"/>
        </w:rPr>
        <w:t>（</w:t>
      </w:r>
      <w:r>
        <w:rPr>
          <w:rFonts w:ascii="Arial" w:hAnsi="Arial" w:cs="Arial"/>
          <w:b/>
          <w:bCs/>
          <w:sz w:val="24"/>
          <w:highlight w:val="none"/>
        </w:rPr>
        <w:t>4</w:t>
      </w:r>
      <w:r>
        <w:rPr>
          <w:rFonts w:hint="eastAsia" w:ascii="Arial" w:hAnsi="Arial" w:cs="Arial"/>
          <w:b/>
          <w:bCs/>
          <w:sz w:val="24"/>
          <w:highlight w:val="none"/>
        </w:rPr>
        <w:t>）个人投标无需提供查询信息。</w:t>
      </w:r>
    </w:p>
    <w:p>
      <w:pPr>
        <w:snapToGrid w:val="0"/>
        <w:spacing w:line="360" w:lineRule="auto"/>
        <w:jc w:val="left"/>
        <w:rPr>
          <w:rFonts w:hint="default" w:ascii="Arial" w:hAnsi="Arial" w:eastAsia="宋体" w:cs="Arial"/>
          <w:b/>
          <w:bCs/>
          <w:sz w:val="24"/>
          <w:highlight w:val="none"/>
          <w:lang w:val="en-US" w:eastAsia="zh-CN"/>
        </w:rPr>
      </w:pPr>
      <w:r>
        <w:rPr>
          <w:rFonts w:hint="eastAsia" w:ascii="Arial" w:hAnsi="Arial" w:eastAsia="宋体" w:cs="Arial"/>
          <w:b/>
          <w:bCs/>
          <w:sz w:val="24"/>
          <w:highlight w:val="none"/>
          <w:lang w:val="en-US" w:eastAsia="zh-CN"/>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highlight w:val="none"/>
        </w:rPr>
      </w:pPr>
      <w:r>
        <w:rPr>
          <w:rFonts w:hint="eastAsia" w:ascii="Arial" w:hAnsi="Arial" w:cs="Arial"/>
          <w:sz w:val="24"/>
          <w:highlight w:val="none"/>
        </w:rPr>
        <w:t>投标人</w:t>
      </w:r>
      <w:r>
        <w:rPr>
          <w:rFonts w:ascii="Arial" w:hAnsi="Arial" w:cs="Arial"/>
          <w:sz w:val="24"/>
          <w:highlight w:val="none"/>
        </w:rPr>
        <w:t>公章：</w:t>
      </w:r>
      <w:r>
        <w:rPr>
          <w:rFonts w:ascii="Arial" w:hAnsi="Arial" w:cs="Arial"/>
          <w:sz w:val="24"/>
          <w:highlight w:val="none"/>
          <w:u w:val="single"/>
        </w:rPr>
        <w:t xml:space="preserve">                     </w:t>
      </w:r>
    </w:p>
    <w:p>
      <w:pPr>
        <w:spacing w:line="400" w:lineRule="exact"/>
        <w:ind w:firstLine="3840" w:firstLineChars="1600"/>
        <w:rPr>
          <w:rFonts w:ascii="Arial" w:hAnsi="Arial" w:cs="Arial"/>
          <w:sz w:val="24"/>
          <w:highlight w:val="none"/>
        </w:rPr>
      </w:pPr>
      <w:r>
        <w:rPr>
          <w:rFonts w:ascii="Arial" w:hAnsi="Arial" w:cs="Arial"/>
          <w:sz w:val="24"/>
          <w:highlight w:val="none"/>
        </w:rPr>
        <w:t>日      期：</w:t>
      </w:r>
      <w:r>
        <w:rPr>
          <w:rFonts w:ascii="Arial" w:hAnsi="Arial" w:cs="Arial"/>
          <w:sz w:val="24"/>
          <w:highlight w:val="none"/>
          <w:u w:val="single"/>
        </w:rPr>
        <w:t xml:space="preserve">                     </w:t>
      </w: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w:t>
      </w:r>
      <w:r>
        <w:rPr>
          <w:rFonts w:hint="eastAsia" w:ascii="宋体" w:hAnsi="宋体"/>
          <w:b/>
          <w:bCs/>
          <w:sz w:val="28"/>
          <w:szCs w:val="28"/>
          <w:lang w:val="en-US" w:eastAsia="zh-CN"/>
        </w:rPr>
        <w:t>3</w:t>
      </w:r>
      <w:r>
        <w:rPr>
          <w:rFonts w:hint="eastAsia" w:ascii="宋体" w:hAnsi="宋体"/>
          <w:b/>
          <w:bCs/>
          <w:sz w:val="28"/>
          <w:szCs w:val="28"/>
        </w:rPr>
        <w:t>.投标人提交的其它商务和技术资料</w:t>
      </w:r>
    </w:p>
    <w:p>
      <w:pPr>
        <w:pStyle w:val="5"/>
        <w:spacing w:line="276" w:lineRule="auto"/>
        <w:rPr>
          <w:rFonts w:hint="eastAsia" w:hAnsi="宋体"/>
          <w:b/>
          <w:bCs/>
          <w:color w:val="000000"/>
          <w:sz w:val="24"/>
          <w:szCs w:val="24"/>
        </w:rPr>
      </w:pPr>
    </w:p>
    <w:p>
      <w:pPr>
        <w:pStyle w:val="5"/>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5"/>
        <w:spacing w:line="276" w:lineRule="auto"/>
        <w:rPr>
          <w:rFonts w:hAnsi="宋体"/>
          <w:color w:val="000000"/>
          <w:sz w:val="24"/>
          <w:szCs w:val="24"/>
        </w:rPr>
      </w:pPr>
    </w:p>
    <w:p>
      <w:pPr>
        <w:pStyle w:val="5"/>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5"/>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5"/>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4</w:t>
      </w:r>
      <w:r>
        <w:rPr>
          <w:rFonts w:hint="eastAsia" w:ascii="宋体" w:hAnsi="宋体"/>
          <w:b/>
          <w:bCs/>
          <w:sz w:val="28"/>
          <w:szCs w:val="28"/>
        </w:rPr>
        <w:t>.招标文件中要求提供的承诺函（格式自拟）</w:t>
      </w:r>
    </w:p>
    <w:p>
      <w:pPr>
        <w:spacing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pStyle w:val="19"/>
        <w:spacing w:line="400" w:lineRule="exact"/>
        <w:jc w:val="both"/>
        <w:rPr>
          <w:rFonts w:hint="eastAsia" w:ascii="宋体" w:hAnsi="宋体"/>
          <w:b/>
          <w:bCs/>
          <w:sz w:val="28"/>
          <w:szCs w:val="28"/>
        </w:rPr>
      </w:pPr>
    </w:p>
    <w:p>
      <w:pPr>
        <w:pStyle w:val="19"/>
        <w:spacing w:line="400" w:lineRule="exact"/>
        <w:rPr>
          <w:rFonts w:hint="eastAsia" w:ascii="宋体" w:hAnsi="宋体"/>
          <w:b/>
          <w:bCs/>
          <w:sz w:val="24"/>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5</w:t>
      </w:r>
      <w:r>
        <w:rPr>
          <w:rFonts w:hint="eastAsia" w:ascii="宋体" w:hAnsi="宋体"/>
          <w:b/>
          <w:bCs/>
          <w:sz w:val="28"/>
          <w:szCs w:val="28"/>
        </w:rPr>
        <w:t>. 招标公告、招标文件、评分办法中列明的需提供的其他证明材料及承诺或投标人认为需要提供的其他资料。(投标人格式自拟)</w:t>
      </w:r>
    </w:p>
    <w:p>
      <w:pPr>
        <w:pStyle w:val="19"/>
        <w:spacing w:line="400" w:lineRule="exact"/>
        <w:ind w:left="420" w:hanging="420" w:hangingChars="200"/>
        <w:jc w:val="center"/>
        <w:rPr>
          <w:rFonts w:hint="eastAsia"/>
        </w:rPr>
      </w:pPr>
    </w:p>
    <w:p>
      <w:pPr>
        <w:pStyle w:val="2"/>
      </w:pPr>
      <w:r>
        <w:br w:type="page"/>
      </w:r>
      <w:bookmarkStart w:id="9" w:name="_Toc534809202"/>
      <w:r>
        <w:t>第五章 评标方法</w:t>
      </w:r>
      <w:bookmarkEnd w:id="9"/>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w:t>
      </w:r>
      <w:r>
        <w:rPr>
          <w:rFonts w:hint="eastAsia" w:ascii="宋体" w:hAnsi="宋体"/>
          <w:bCs/>
          <w:color w:val="000000"/>
          <w:sz w:val="24"/>
          <w:lang w:eastAsia="zh-CN"/>
        </w:rPr>
        <w:t>安徽省中西医结合医院采购PCR实验室设备及试剂项目</w:t>
      </w:r>
      <w:r>
        <w:rPr>
          <w:rFonts w:hint="eastAsia" w:ascii="宋体" w:hAnsi="宋体"/>
          <w:bCs/>
          <w:color w:val="000000"/>
          <w:sz w:val="24"/>
        </w:rPr>
        <w:t>项目（项目编号：</w:t>
      </w:r>
      <w:r>
        <w:rPr>
          <w:rFonts w:hint="eastAsia" w:ascii="宋体" w:hAnsi="宋体"/>
          <w:bCs/>
          <w:color w:val="000000"/>
          <w:sz w:val="24"/>
          <w:lang w:eastAsia="zh-CN"/>
        </w:rPr>
        <w:t>某编号</w:t>
      </w:r>
      <w:r>
        <w:rPr>
          <w:rFonts w:hint="eastAsia" w:ascii="宋体" w:hAnsi="宋体"/>
          <w:bCs/>
          <w:color w:val="000000"/>
          <w:sz w:val="24"/>
        </w:rPr>
        <w:t>）的招标评标工作，保证项目评审工作的正常有序进行，维护采购人、投标人的合法权益，本着公开、公平、公正的原则，制定评标办法。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w:t>
      </w:r>
      <w:r>
        <w:rPr>
          <w:rFonts w:hint="eastAsia" w:ascii="宋体" w:hAnsi="宋体"/>
          <w:sz w:val="24"/>
          <w:lang w:val="en-US" w:eastAsia="zh-CN"/>
        </w:rPr>
        <w:t>评标委员会</w:t>
      </w:r>
      <w:r>
        <w:rPr>
          <w:rFonts w:hint="eastAsia" w:ascii="宋体" w:hAnsi="宋体"/>
          <w:sz w:val="24"/>
        </w:rPr>
        <w:t>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pStyle w:val="21"/>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bCs/>
                <w:lang w:eastAsia="zh-CN"/>
              </w:rPr>
              <w:t>安徽省中西医结合医院采购PCR实验室试剂项目</w:t>
            </w: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1"/>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投标保证金</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6</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7"/>
              <w:spacing w:line="360" w:lineRule="auto"/>
              <w:ind w:right="-10"/>
              <w:rPr>
                <w:rFonts w:ascii="宋体" w:hAnsi="宋体"/>
                <w:b/>
                <w:bCs/>
                <w:sz w:val="24"/>
              </w:rPr>
            </w:pPr>
            <w:r>
              <w:rPr>
                <w:rFonts w:hint="eastAsia" w:ascii="宋体" w:hAnsi="宋体"/>
                <w:b/>
                <w:bCs/>
                <w:sz w:val="24"/>
              </w:rPr>
              <w:t>注：</w:t>
            </w:r>
          </w:p>
          <w:p>
            <w:pPr>
              <w:pStyle w:val="7"/>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7"/>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3"/>
      </w:pPr>
    </w:p>
    <w:p>
      <w:pPr>
        <w:spacing w:before="120" w:beforeLines="50" w:line="360" w:lineRule="auto"/>
        <w:ind w:firstLine="480" w:firstLineChars="200"/>
        <w:rPr>
          <w:rFonts w:ascii="宋体" w:hAnsi="宋体"/>
          <w:sz w:val="24"/>
        </w:rPr>
      </w:pPr>
      <w:r>
        <w:rPr>
          <w:rFonts w:hint="eastAsia" w:ascii="宋体" w:hAnsi="宋体"/>
          <w:sz w:val="24"/>
        </w:rPr>
        <w:t>2、对投标文件进行详审。评标委员会只对通过初审，实质上响应招标文件要求的投标文件按照下述指标表进行详审。</w:t>
      </w:r>
    </w:p>
    <w:p>
      <w:pPr>
        <w:adjustRightInd w:val="0"/>
        <w:snapToGrid w:val="0"/>
        <w:ind w:left="17" w:leftChars="8" w:firstLine="458" w:firstLineChars="191"/>
        <w:rPr>
          <w:rFonts w:hint="eastAsia" w:ascii="宋体" w:hAnsi="宋体"/>
          <w:sz w:val="24"/>
        </w:rPr>
      </w:pPr>
      <w:r>
        <w:rPr>
          <w:rFonts w:hint="eastAsia" w:ascii="宋体" w:hAnsi="宋体"/>
          <w:sz w:val="24"/>
        </w:rPr>
        <w:t>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04" w:type="dxa"/>
            <w:tcBorders>
              <w:top w:val="single" w:color="auto" w:sz="4" w:space="0"/>
              <w:left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标注</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20</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rPr>
              <w:t>2</w:t>
            </w:r>
            <w:r>
              <w:rPr>
                <w:rFonts w:ascii="宋体" w:hAnsi="宋体"/>
                <w:sz w:val="24"/>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根据所投产品的品牌、市场占有情况、市场评价等对照进行评议，综合评分，满分12分。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ascii="宋体" w:hAnsi="宋体"/>
                <w:sz w:val="24"/>
              </w:rPr>
              <w:t>1.承诺</w:t>
            </w:r>
            <w:r>
              <w:rPr>
                <w:rFonts w:hint="eastAsia"/>
                <w:sz w:val="24"/>
              </w:rPr>
              <w:t>接招标人通知供货及需求数量后</w:t>
            </w:r>
            <w:r>
              <w:rPr>
                <w:sz w:val="24"/>
              </w:rPr>
              <w:t>1</w:t>
            </w:r>
            <w:r>
              <w:rPr>
                <w:rFonts w:hint="eastAsia"/>
                <w:sz w:val="24"/>
              </w:rPr>
              <w:t>小时内响应，</w:t>
            </w:r>
            <w:r>
              <w:rPr>
                <w:sz w:val="24"/>
              </w:rPr>
              <w:t>2</w:t>
            </w:r>
            <w:r>
              <w:rPr>
                <w:rFonts w:hint="eastAsia"/>
                <w:sz w:val="24"/>
              </w:rPr>
              <w:t>小时内完成供货的，得1分；提供承诺函，否则不得分。</w:t>
            </w:r>
          </w:p>
          <w:p>
            <w:pPr>
              <w:rPr>
                <w:rFonts w:ascii="宋体" w:hAnsi="宋体"/>
                <w:sz w:val="24"/>
              </w:rPr>
            </w:pPr>
            <w:r>
              <w:rPr>
                <w:rFonts w:hint="eastAsia" w:ascii="宋体" w:hAnsi="宋体"/>
                <w:sz w:val="24"/>
              </w:rPr>
              <w:t>2．试剂配套设备需有完备的售后方案，方案内容及要求需包含但不限于：培训（临床、维修）、维修保养、开机率、校验。提供详细售后方案，评标委员会横向比较，综合赋分，未提供的不得分，0—2分。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政策条款</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1.所投产品</w:t>
            </w:r>
            <w:r>
              <w:rPr>
                <w:rFonts w:hint="eastAsia" w:ascii="宋体" w:hAnsi="宋体" w:eastAsia="宋体" w:cs="宋体"/>
                <w:sz w:val="24"/>
                <w:szCs w:val="24"/>
              </w:rPr>
              <w:t>（耗材/试剂部分）</w:t>
            </w:r>
            <w:r>
              <w:rPr>
                <w:rFonts w:hint="eastAsia" w:ascii="宋体" w:hAnsi="宋体" w:eastAsia="宋体" w:cs="宋体"/>
                <w:sz w:val="24"/>
                <w:szCs w:val="24"/>
                <w:lang w:val="en-US" w:eastAsia="zh-CN"/>
              </w:rPr>
              <w:t>不在</w:t>
            </w:r>
            <w:r>
              <w:rPr>
                <w:rFonts w:hint="eastAsia" w:ascii="宋体" w:hAnsi="宋体" w:eastAsia="宋体" w:cs="宋体"/>
                <w:sz w:val="24"/>
                <w:szCs w:val="24"/>
              </w:rPr>
              <w:t>安徽省医药集中采购平台目录内</w:t>
            </w:r>
            <w:r>
              <w:rPr>
                <w:rFonts w:hint="eastAsia" w:ascii="宋体" w:hAnsi="宋体" w:eastAsia="宋体" w:cs="宋体"/>
                <w:sz w:val="24"/>
                <w:szCs w:val="24"/>
                <w:lang w:val="en-US" w:eastAsia="zh-CN"/>
              </w:rPr>
              <w:t>的，本项得0分；</w:t>
            </w:r>
          </w:p>
          <w:p>
            <w:pPr>
              <w:rPr>
                <w:rFonts w:hint="eastAsia" w:ascii="宋体" w:hAnsi="宋体" w:eastAsia="宋体" w:cs="宋体"/>
                <w:sz w:val="24"/>
                <w:szCs w:val="24"/>
              </w:rPr>
            </w:pPr>
            <w:r>
              <w:rPr>
                <w:rFonts w:hint="eastAsia" w:ascii="宋体" w:hAnsi="宋体" w:eastAsia="宋体" w:cs="宋体"/>
                <w:sz w:val="24"/>
                <w:szCs w:val="24"/>
                <w:lang w:val="en-US" w:eastAsia="zh-CN"/>
              </w:rPr>
              <w:t>2.所投产品</w:t>
            </w:r>
            <w:r>
              <w:rPr>
                <w:rFonts w:hint="eastAsia" w:ascii="宋体" w:hAnsi="宋体" w:eastAsia="宋体" w:cs="宋体"/>
                <w:sz w:val="24"/>
                <w:szCs w:val="24"/>
              </w:rPr>
              <w:t>如为安徽省医药集中采购平台目录内产品的，品全部为正式交易目录的得2</w:t>
            </w:r>
            <w:r>
              <w:rPr>
                <w:rFonts w:hint="eastAsia" w:ascii="宋体" w:hAnsi="宋体" w:eastAsia="宋体" w:cs="宋体"/>
                <w:sz w:val="24"/>
                <w:szCs w:val="24"/>
                <w:lang w:val="en-US" w:eastAsia="zh-CN"/>
              </w:rPr>
              <w:t>5</w:t>
            </w:r>
            <w:r>
              <w:rPr>
                <w:rFonts w:hint="eastAsia" w:ascii="宋体" w:hAnsi="宋体" w:eastAsia="宋体" w:cs="宋体"/>
                <w:sz w:val="24"/>
                <w:szCs w:val="24"/>
              </w:rPr>
              <w:t>分，全部为备案交易目录的得</w:t>
            </w:r>
            <w:r>
              <w:rPr>
                <w:rFonts w:hint="eastAsia" w:ascii="宋体" w:hAnsi="宋体" w:eastAsia="宋体" w:cs="宋体"/>
                <w:sz w:val="24"/>
                <w:szCs w:val="24"/>
                <w:lang w:val="en-US" w:eastAsia="zh-CN"/>
              </w:rPr>
              <w:t>10</w:t>
            </w:r>
            <w:r>
              <w:rPr>
                <w:rFonts w:hint="eastAsia" w:ascii="宋体" w:hAnsi="宋体" w:eastAsia="宋体" w:cs="宋体"/>
                <w:sz w:val="24"/>
                <w:szCs w:val="24"/>
              </w:rPr>
              <w:t>分，其他情况的按目录所占比例折算得分（计算公式：得分=所投正式目录数量/所投全部目录数量*2</w:t>
            </w:r>
            <w:r>
              <w:rPr>
                <w:rFonts w:hint="eastAsia" w:ascii="宋体" w:hAnsi="宋体" w:eastAsia="宋体" w:cs="宋体"/>
                <w:sz w:val="24"/>
                <w:szCs w:val="24"/>
                <w:lang w:val="en-US" w:eastAsia="zh-CN"/>
              </w:rPr>
              <w:t>5</w:t>
            </w:r>
            <w:r>
              <w:rPr>
                <w:rFonts w:hint="eastAsia" w:ascii="宋体" w:hAnsi="宋体" w:eastAsia="宋体" w:cs="宋体"/>
                <w:sz w:val="24"/>
                <w:szCs w:val="24"/>
              </w:rPr>
              <w:t>%*100+所投备案交易目录数量/所投全部目录数量*</w:t>
            </w:r>
            <w:r>
              <w:rPr>
                <w:rFonts w:hint="eastAsia" w:ascii="宋体" w:hAnsi="宋体" w:eastAsia="宋体" w:cs="宋体"/>
                <w:sz w:val="24"/>
                <w:szCs w:val="24"/>
                <w:lang w:val="en-US" w:eastAsia="zh-CN"/>
              </w:rPr>
              <w:t>10</w:t>
            </w:r>
            <w:r>
              <w:rPr>
                <w:rFonts w:hint="eastAsia" w:ascii="宋体" w:hAnsi="宋体" w:eastAsia="宋体" w:cs="宋体"/>
                <w:sz w:val="24"/>
                <w:szCs w:val="24"/>
              </w:rPr>
              <w:t>%*100）。</w:t>
            </w:r>
          </w:p>
          <w:p>
            <w:pPr>
              <w:rPr>
                <w:rFonts w:ascii="宋体" w:hAnsi="宋体"/>
                <w:sz w:val="24"/>
              </w:rPr>
            </w:pPr>
            <w:r>
              <w:rPr>
                <w:rFonts w:hint="eastAsia" w:ascii="宋体" w:hAnsi="宋体" w:eastAsia="宋体" w:cs="宋体"/>
                <w:b/>
                <w:bCs/>
                <w:sz w:val="24"/>
                <w:szCs w:val="24"/>
                <w:lang w:val="en-US" w:eastAsia="zh-CN"/>
              </w:rPr>
              <w:t>备注：政策条款提供安徽省医药集中采购平台查询截图，未提供截图的本项不得分。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sz w:val="24"/>
              </w:rPr>
            </w:pPr>
            <w:r>
              <w:rPr>
                <w:rFonts w:hint="eastAsia" w:ascii="宋体" w:hAnsi="宋体"/>
                <w:sz w:val="24"/>
              </w:rPr>
              <w:t>2</w:t>
            </w:r>
            <w:r>
              <w:rPr>
                <w:rFonts w:ascii="宋体" w:hAnsi="宋体"/>
                <w:sz w:val="24"/>
              </w:rPr>
              <w:t>0</w:t>
            </w:r>
            <w:r>
              <w:rPr>
                <w:rFonts w:hint="eastAsia" w:ascii="宋体" w:hAnsi="宋体"/>
                <w:sz w:val="24"/>
              </w:rPr>
              <w:t>17</w:t>
            </w:r>
            <w:r>
              <w:rPr>
                <w:rFonts w:ascii="宋体" w:hAnsi="宋体"/>
                <w:sz w:val="24"/>
              </w:rPr>
              <w:t>年0</w:t>
            </w:r>
            <w:r>
              <w:rPr>
                <w:rFonts w:hint="eastAsia" w:ascii="宋体" w:hAnsi="宋体"/>
                <w:sz w:val="24"/>
              </w:rPr>
              <w:t>1</w:t>
            </w:r>
            <w:r>
              <w:rPr>
                <w:rFonts w:ascii="宋体" w:hAnsi="宋体"/>
                <w:sz w:val="24"/>
              </w:rPr>
              <w:t>月01日以来</w:t>
            </w:r>
            <w:r>
              <w:rPr>
                <w:rFonts w:hint="eastAsia" w:ascii="宋体" w:hAnsi="宋体"/>
                <w:sz w:val="24"/>
              </w:rPr>
              <w:t>所</w:t>
            </w:r>
            <w:r>
              <w:rPr>
                <w:rFonts w:ascii="宋体" w:hAnsi="宋体"/>
                <w:sz w:val="24"/>
              </w:rPr>
              <w:t>投</w:t>
            </w:r>
            <w:r>
              <w:rPr>
                <w:rFonts w:hint="eastAsia" w:ascii="宋体" w:hAnsi="宋体"/>
                <w:sz w:val="24"/>
              </w:rPr>
              <w:t>产品的同品牌、同型号</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备注：投标人须在投标文件中提供内容完整的合同复印件作为打分依据，不得遮挡、缺页，否则视为无效业绩合同。</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704" w:type="dxa"/>
            <w:tcBorders>
              <w:top w:val="single" w:color="auto" w:sz="4" w:space="0"/>
              <w:left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rPr>
              <w:t>6</w:t>
            </w:r>
          </w:p>
        </w:tc>
        <w:tc>
          <w:tcPr>
            <w:tcW w:w="1277" w:type="dxa"/>
            <w:tcBorders>
              <w:top w:val="single" w:color="auto" w:sz="4" w:space="0"/>
              <w:left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3</w:t>
            </w:r>
            <w:r>
              <w:rPr>
                <w:rFonts w:hint="eastAsia" w:ascii="宋体" w:hAnsi="宋体"/>
                <w:sz w:val="24"/>
              </w:rPr>
              <w:t>0％×100</w:t>
            </w:r>
          </w:p>
        </w:tc>
        <w:tc>
          <w:tcPr>
            <w:tcW w:w="1135" w:type="dxa"/>
            <w:tcBorders>
              <w:top w:val="single" w:color="auto" w:sz="4" w:space="0"/>
              <w:left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3</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hint="eastAsia" w:ascii="宋体" w:hAnsi="宋体"/>
          <w:sz w:val="24"/>
          <w:lang w:eastAsia="zh-CN"/>
        </w:rPr>
      </w:pPr>
      <w:r>
        <w:rPr>
          <w:rFonts w:hint="eastAsia" w:ascii="宋体" w:hAnsi="宋体"/>
          <w:sz w:val="24"/>
          <w:lang w:val="en-US" w:eastAsia="zh-CN"/>
        </w:rPr>
        <w:t>3、</w:t>
      </w:r>
      <w:r>
        <w:rPr>
          <w:rFonts w:hint="eastAsia" w:ascii="宋体" w:hAnsi="宋体"/>
          <w:sz w:val="24"/>
          <w:lang w:eastAsia="zh-CN"/>
        </w:rPr>
        <w:t>评分汇总：</w:t>
      </w:r>
    </w:p>
    <w:p>
      <w:pPr>
        <w:adjustRightInd w:val="0"/>
        <w:snapToGrid w:val="0"/>
        <w:spacing w:line="360" w:lineRule="auto"/>
        <w:ind w:right="-11" w:firstLine="480" w:firstLineChars="200"/>
        <w:rPr>
          <w:rFonts w:ascii="宋体" w:hAnsi="宋体"/>
          <w:sz w:val="24"/>
        </w:rPr>
      </w:pPr>
      <w:r>
        <w:rPr>
          <w:rFonts w:hint="eastAsia" w:ascii="宋体" w:hAnsi="宋体"/>
          <w:sz w:val="24"/>
        </w:rPr>
        <w:t>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7"/>
        <w:spacing w:line="360" w:lineRule="auto"/>
        <w:ind w:right="-11"/>
        <w:rPr>
          <w:rFonts w:ascii="宋体" w:hAnsi="宋体"/>
          <w:sz w:val="24"/>
        </w:rPr>
      </w:pPr>
      <w:r>
        <w:rPr>
          <w:rFonts w:hint="eastAsia" w:ascii="宋体" w:hAnsi="宋体"/>
          <w:sz w:val="24"/>
        </w:rPr>
        <w:t>4、得分汇总</w:t>
      </w:r>
    </w:p>
    <w:p>
      <w:pPr>
        <w:pStyle w:val="7"/>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7"/>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pStyle w:val="2"/>
        <w:rPr>
          <w:rFonts w:hint="eastAsia"/>
        </w:rPr>
      </w:pPr>
      <w:r>
        <w:br w:type="page"/>
      </w:r>
      <w:bookmarkStart w:id="10" w:name="_Toc534809203"/>
      <w:r>
        <w:rPr>
          <w:rFonts w:hint="eastAsia"/>
        </w:rPr>
        <w:t>第六章 技术要求</w:t>
      </w:r>
      <w:bookmarkEnd w:id="10"/>
    </w:p>
    <w:p>
      <w:pPr>
        <w:pStyle w:val="19"/>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jc w:val="left"/>
        <w:rPr>
          <w:b/>
          <w:color w:val="FF0000"/>
          <w:sz w:val="24"/>
        </w:rPr>
      </w:pPr>
      <w:r>
        <w:rPr>
          <w:b/>
          <w:color w:val="FF0000"/>
          <w:sz w:val="24"/>
        </w:rPr>
        <w:t>备注：本项目提供的用量均为参考用量，实际用量以院方采购为准。</w:t>
      </w:r>
    </w:p>
    <w:p>
      <w:pPr>
        <w:pStyle w:val="5"/>
        <w:rPr>
          <w:b/>
          <w:color w:val="FF0000"/>
          <w:sz w:val="24"/>
        </w:rPr>
      </w:pPr>
    </w:p>
    <w:p>
      <w:pPr>
        <w:tabs>
          <w:tab w:val="left" w:pos="912"/>
        </w:tabs>
        <w:spacing w:before="5" w:line="242" w:lineRule="auto"/>
        <w:ind w:right="484"/>
        <w:rPr>
          <w:b/>
          <w:sz w:val="21"/>
        </w:rPr>
      </w:pP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2136"/>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08" w:type="dxa"/>
            <w:vAlign w:val="center"/>
          </w:tcPr>
          <w:p>
            <w:pPr>
              <w:spacing w:line="360" w:lineRule="auto"/>
              <w:jc w:val="center"/>
              <w:rPr>
                <w:rFonts w:hint="eastAsia"/>
                <w:b/>
                <w:bCs/>
                <w:color w:val="auto"/>
                <w:sz w:val="24"/>
                <w:szCs w:val="24"/>
              </w:rPr>
            </w:pPr>
            <w:r>
              <w:rPr>
                <w:rFonts w:hint="eastAsia"/>
                <w:b/>
                <w:bCs/>
                <w:color w:val="auto"/>
                <w:sz w:val="24"/>
                <w:szCs w:val="24"/>
              </w:rPr>
              <w:t>设备名称</w:t>
            </w:r>
          </w:p>
        </w:tc>
        <w:tc>
          <w:tcPr>
            <w:tcW w:w="2136" w:type="dxa"/>
            <w:vAlign w:val="center"/>
          </w:tcPr>
          <w:p>
            <w:pPr>
              <w:spacing w:line="360" w:lineRule="auto"/>
              <w:jc w:val="center"/>
              <w:rPr>
                <w:rFonts w:hint="eastAsia" w:eastAsiaTheme="minorEastAsia"/>
                <w:b/>
                <w:bCs/>
                <w:color w:val="auto"/>
                <w:sz w:val="24"/>
                <w:szCs w:val="24"/>
                <w:lang w:eastAsia="zh-CN"/>
              </w:rPr>
            </w:pPr>
            <w:r>
              <w:rPr>
                <w:rFonts w:hint="eastAsia"/>
                <w:b/>
                <w:bCs/>
                <w:color w:val="auto"/>
                <w:sz w:val="24"/>
                <w:szCs w:val="24"/>
                <w:lang w:eastAsia="zh-CN"/>
              </w:rPr>
              <w:t>参考规格</w:t>
            </w:r>
          </w:p>
        </w:tc>
        <w:tc>
          <w:tcPr>
            <w:tcW w:w="2584" w:type="dxa"/>
            <w:vAlign w:val="center"/>
          </w:tcPr>
          <w:p>
            <w:pPr>
              <w:spacing w:line="360" w:lineRule="auto"/>
              <w:jc w:val="center"/>
              <w:rPr>
                <w:b/>
                <w:bCs/>
                <w:color w:val="auto"/>
                <w:sz w:val="24"/>
                <w:szCs w:val="24"/>
              </w:rPr>
            </w:pPr>
            <w:r>
              <w:rPr>
                <w:rFonts w:hint="eastAsia"/>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808" w:type="dxa"/>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新冠病毒核酸检测第三方质控品</w:t>
            </w:r>
          </w:p>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(第二个品牌）</w:t>
            </w:r>
          </w:p>
        </w:tc>
        <w:tc>
          <w:tcPr>
            <w:tcW w:w="2136" w:type="dxa"/>
            <w:vAlign w:val="center"/>
          </w:tcPr>
          <w:p>
            <w:pPr>
              <w:spacing w:line="360" w:lineRule="auto"/>
              <w:jc w:val="center"/>
              <w:rPr>
                <w:rFonts w:hint="eastAsia" w:eastAsiaTheme="minorEastAsia"/>
                <w:bCs/>
                <w:color w:val="auto"/>
                <w:sz w:val="24"/>
                <w:szCs w:val="24"/>
                <w:lang w:val="en-US" w:eastAsia="zh-CN"/>
              </w:rPr>
            </w:pPr>
            <w:r>
              <w:rPr>
                <w:rFonts w:hint="eastAsia"/>
                <w:bCs/>
                <w:color w:val="auto"/>
                <w:sz w:val="24"/>
                <w:szCs w:val="24"/>
                <w:lang w:val="en-US" w:eastAsia="zh-CN"/>
              </w:rPr>
              <w:t>500T/盒</w:t>
            </w:r>
          </w:p>
        </w:tc>
        <w:tc>
          <w:tcPr>
            <w:tcW w:w="2584" w:type="dxa"/>
            <w:vAlign w:val="center"/>
          </w:tcPr>
          <w:p>
            <w:pPr>
              <w:spacing w:line="360" w:lineRule="auto"/>
              <w:jc w:val="center"/>
              <w:rPr>
                <w:rFonts w:hint="eastAsia" w:eastAsiaTheme="minorEastAsia"/>
                <w:bCs/>
                <w:color w:val="auto"/>
                <w:sz w:val="24"/>
                <w:szCs w:val="24"/>
                <w:lang w:val="en-US" w:eastAsia="zh-CN"/>
              </w:rPr>
            </w:pPr>
            <w:r>
              <w:rPr>
                <w:rFonts w:hint="eastAsia"/>
                <w:bCs/>
                <w:color w:val="auto"/>
                <w:sz w:val="24"/>
                <w:szCs w:val="24"/>
                <w:lang w:val="en-US" w:eastAsia="zh-CN"/>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808" w:type="dxa"/>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新冠病毒核酸检测第三方质控品</w:t>
            </w:r>
          </w:p>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(第二个品牌）</w:t>
            </w:r>
          </w:p>
        </w:tc>
        <w:tc>
          <w:tcPr>
            <w:tcW w:w="2136" w:type="dxa"/>
            <w:vAlign w:val="center"/>
          </w:tcPr>
          <w:p>
            <w:pPr>
              <w:spacing w:line="360" w:lineRule="auto"/>
              <w:jc w:val="center"/>
              <w:rPr>
                <w:rFonts w:hint="eastAsia" w:eastAsiaTheme="minorEastAsia"/>
                <w:bCs/>
                <w:color w:val="auto"/>
                <w:sz w:val="24"/>
                <w:szCs w:val="24"/>
                <w:lang w:val="en-US" w:eastAsia="zh-CN"/>
              </w:rPr>
            </w:pPr>
            <w:r>
              <w:rPr>
                <w:rFonts w:hint="eastAsia"/>
                <w:bCs/>
                <w:color w:val="auto"/>
                <w:sz w:val="24"/>
                <w:szCs w:val="24"/>
                <w:lang w:val="en-US" w:eastAsia="zh-CN"/>
              </w:rPr>
              <w:t>1000T/盒</w:t>
            </w:r>
          </w:p>
        </w:tc>
        <w:tc>
          <w:tcPr>
            <w:tcW w:w="2584" w:type="dxa"/>
            <w:vAlign w:val="center"/>
          </w:tcPr>
          <w:p>
            <w:pPr>
              <w:spacing w:line="360" w:lineRule="auto"/>
              <w:jc w:val="center"/>
              <w:rPr>
                <w:rFonts w:hint="eastAsia" w:eastAsiaTheme="minorEastAsia"/>
                <w:bCs/>
                <w:color w:val="auto"/>
                <w:sz w:val="24"/>
                <w:szCs w:val="24"/>
                <w:lang w:val="en-US" w:eastAsia="zh-CN"/>
              </w:rPr>
            </w:pPr>
            <w:r>
              <w:rPr>
                <w:rFonts w:hint="eastAsia"/>
                <w:bCs/>
                <w:color w:val="auto"/>
                <w:sz w:val="24"/>
                <w:szCs w:val="24"/>
                <w:lang w:val="en-US" w:eastAsia="zh-CN"/>
              </w:rPr>
              <w:t>1盒</w:t>
            </w:r>
          </w:p>
        </w:tc>
      </w:tr>
    </w:tbl>
    <w:p>
      <w:pPr>
        <w:pStyle w:val="6"/>
        <w:ind w:left="0" w:leftChars="0" w:firstLine="0" w:firstLineChars="0"/>
        <w:rPr>
          <w:rFonts w:hint="eastAsia"/>
        </w:rPr>
      </w:pPr>
    </w:p>
    <w:p>
      <w:pPr>
        <w:pStyle w:val="6"/>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val="0"/>
          <w:bCs w:val="0"/>
          <w:color w:val="auto"/>
          <w:sz w:val="24"/>
          <w:szCs w:val="24"/>
          <w:lang w:val="en-US" w:eastAsia="zh-CN"/>
        </w:rPr>
        <w:t>新冠病毒核酸检测第三方质控品(第二个品牌）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技术要求</w:t>
      </w:r>
    </w:p>
    <w:bookmarkEnd w:id="1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rPr>
        <w:t>1、包装规格：0.5m</w:t>
      </w:r>
      <w:r>
        <w:rPr>
          <w:sz w:val="24"/>
          <w:szCs w:val="24"/>
        </w:rPr>
        <w:t>L</w:t>
      </w:r>
      <w:r>
        <w:rPr>
          <w:rFonts w:hint="eastAsia"/>
          <w:sz w:val="24"/>
          <w:szCs w:val="24"/>
        </w:rPr>
        <w:t>/支</w:t>
      </w:r>
      <w:r>
        <w:rPr>
          <w:rFonts w:hint="eastAsia"/>
          <w:sz w:val="24"/>
          <w:szCs w:val="24"/>
          <w:lang w:val="en-US" w:eastAsia="zh-CN"/>
        </w:rPr>
        <w:t>或其他，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2、第三方质控品</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rPr>
        <w:t>3、原料：含O</w:t>
      </w:r>
      <w:r>
        <w:rPr>
          <w:sz w:val="24"/>
          <w:szCs w:val="24"/>
        </w:rPr>
        <w:t>RF1</w:t>
      </w:r>
      <w:r>
        <w:rPr>
          <w:rFonts w:hint="eastAsia"/>
          <w:sz w:val="24"/>
          <w:szCs w:val="24"/>
        </w:rPr>
        <w:t>ab的重要序列及N基因、E基因的全长，</w:t>
      </w:r>
      <w:r>
        <w:rPr>
          <w:rFonts w:hint="eastAsia"/>
          <w:sz w:val="24"/>
          <w:szCs w:val="24"/>
          <w:lang w:val="en-US" w:eastAsia="zh-CN"/>
        </w:rPr>
        <w:t>以及目前出现的各类变异株，包含但不限于奥密克戎、德尔塔等。</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4、安全性：质评物为假病毒，无生物安全危害，不具备传染性。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5、基质：基质效应少，与临床样本互通性好。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rPr>
        <w:t>★</w:t>
      </w:r>
      <w:r>
        <w:rPr>
          <w:rFonts w:hint="eastAsia"/>
          <w:sz w:val="24"/>
          <w:szCs w:val="24"/>
        </w:rPr>
        <w:t>6、适用范围：适用于不同检测平台，不同检测方法学，适用于</w:t>
      </w:r>
      <w:r>
        <w:rPr>
          <w:rFonts w:hint="eastAsia"/>
          <w:sz w:val="24"/>
          <w:szCs w:val="24"/>
          <w:lang w:eastAsia="zh-CN"/>
        </w:rPr>
        <w:t>不同</w:t>
      </w:r>
      <w:r>
        <w:rPr>
          <w:rFonts w:hint="eastAsia"/>
          <w:sz w:val="24"/>
          <w:szCs w:val="24"/>
        </w:rPr>
        <w:t>试剂厂家</w:t>
      </w:r>
      <w:r>
        <w:rPr>
          <w:rFonts w:hint="eastAsia"/>
          <w:sz w:val="24"/>
          <w:szCs w:val="24"/>
          <w:lang w:eastAsia="zh-CN"/>
        </w:rPr>
        <w:t>必须包括但不限于以下品牌</w:t>
      </w:r>
      <w:r>
        <w:rPr>
          <w:rFonts w:hint="eastAsia"/>
          <w:sz w:val="24"/>
          <w:szCs w:val="24"/>
        </w:rPr>
        <w:t>：上海之江、</w:t>
      </w:r>
      <w:r>
        <w:rPr>
          <w:rFonts w:hint="eastAsia"/>
          <w:sz w:val="24"/>
          <w:szCs w:val="24"/>
          <w:lang w:eastAsia="zh-CN"/>
        </w:rPr>
        <w:t>广州</w:t>
      </w:r>
      <w:r>
        <w:rPr>
          <w:rFonts w:hint="eastAsia"/>
          <w:sz w:val="24"/>
          <w:szCs w:val="24"/>
        </w:rPr>
        <w:t>达安、</w:t>
      </w:r>
      <w:r>
        <w:rPr>
          <w:rFonts w:hint="eastAsia"/>
          <w:sz w:val="24"/>
          <w:szCs w:val="24"/>
          <w:lang w:eastAsia="zh-CN"/>
        </w:rPr>
        <w:t>长沙</w:t>
      </w:r>
      <w:r>
        <w:rPr>
          <w:rFonts w:hint="eastAsia"/>
          <w:sz w:val="24"/>
          <w:szCs w:val="24"/>
        </w:rPr>
        <w:t>圣湘。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rPr>
        <w:t>★</w:t>
      </w:r>
      <w:r>
        <w:rPr>
          <w:rFonts w:hint="eastAsia"/>
          <w:sz w:val="24"/>
          <w:szCs w:val="24"/>
        </w:rPr>
        <w:t>7、样品浓度包含阴性及6个不同水平的弱阳性质控品，弱阳性浓度须有符合《医疗机构新型冠状病毒核酸检测工作手册（试行第二版）》要求的浓度，一般为最低检出限（5</w:t>
      </w:r>
      <w:r>
        <w:rPr>
          <w:sz w:val="24"/>
          <w:szCs w:val="24"/>
        </w:rPr>
        <w:t>00copies/ml</w:t>
      </w:r>
      <w:r>
        <w:rPr>
          <w:rFonts w:hint="eastAsia"/>
          <w:sz w:val="24"/>
          <w:szCs w:val="24"/>
        </w:rPr>
        <w:t>）的1</w:t>
      </w:r>
      <w:r>
        <w:rPr>
          <w:sz w:val="24"/>
          <w:szCs w:val="24"/>
        </w:rPr>
        <w:t>.5~3</w:t>
      </w:r>
      <w:r>
        <w:rPr>
          <w:rFonts w:hint="eastAsia"/>
          <w:sz w:val="24"/>
          <w:szCs w:val="24"/>
        </w:rPr>
        <w:t>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8、稳定性：-15℃保存，有效期1年。</w:t>
      </w:r>
    </w:p>
    <w:p>
      <w:pPr>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p>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27</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14"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6"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4"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9"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E86C8"/>
    <w:multiLevelType w:val="singleLevel"/>
    <w:tmpl w:val="BC1E86C8"/>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2">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30B27"/>
    <w:rsid w:val="072B00F8"/>
    <w:rsid w:val="07F168A3"/>
    <w:rsid w:val="0BC46131"/>
    <w:rsid w:val="0ED92F62"/>
    <w:rsid w:val="153933C5"/>
    <w:rsid w:val="1B0167A6"/>
    <w:rsid w:val="1E1265D5"/>
    <w:rsid w:val="22682C67"/>
    <w:rsid w:val="285A2518"/>
    <w:rsid w:val="2C0D01B0"/>
    <w:rsid w:val="2DE24503"/>
    <w:rsid w:val="30C30B27"/>
    <w:rsid w:val="375810A4"/>
    <w:rsid w:val="3FCD4900"/>
    <w:rsid w:val="436679D8"/>
    <w:rsid w:val="4521136C"/>
    <w:rsid w:val="46560EA5"/>
    <w:rsid w:val="49A54ABF"/>
    <w:rsid w:val="49CA4084"/>
    <w:rsid w:val="53F1220D"/>
    <w:rsid w:val="626922E8"/>
    <w:rsid w:val="6D7B222A"/>
    <w:rsid w:val="6FF11ABB"/>
    <w:rsid w:val="76D0242A"/>
    <w:rsid w:val="7B31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5">
    <w:name w:val="Normal Indent"/>
    <w:basedOn w:val="1"/>
    <w:next w:val="6"/>
    <w:qFormat/>
    <w:uiPriority w:val="0"/>
    <w:pPr>
      <w:ind w:firstLine="420"/>
    </w:pPr>
    <w:rPr>
      <w:szCs w:val="20"/>
    </w:rPr>
  </w:style>
  <w:style w:type="paragraph" w:styleId="6">
    <w:name w:val="Body Text First Indent 2"/>
    <w:basedOn w:val="7"/>
    <w:qFormat/>
    <w:uiPriority w:val="0"/>
    <w:pPr>
      <w:spacing w:after="120"/>
      <w:ind w:left="420" w:leftChars="200" w:firstLine="420" w:firstLineChars="200"/>
    </w:pPr>
    <w:rPr>
      <w:sz w:val="21"/>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annotation text"/>
    <w:basedOn w:val="1"/>
    <w:qFormat/>
    <w:uiPriority w:val="0"/>
    <w:pPr>
      <w:jc w:val="left"/>
    </w:pPr>
  </w:style>
  <w:style w:type="paragraph" w:styleId="10">
    <w:name w:val="Body Text"/>
    <w:basedOn w:val="3"/>
    <w:next w:val="3"/>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character" w:styleId="17">
    <w:name w:val="page number"/>
    <w:basedOn w:val="16"/>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17675</Words>
  <Characters>18813</Characters>
  <Lines>0</Lines>
  <Paragraphs>0</Paragraphs>
  <TotalTime>7</TotalTime>
  <ScaleCrop>false</ScaleCrop>
  <LinksUpToDate>false</LinksUpToDate>
  <CharactersWithSpaces>19794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2022-03-10T06:51:00Z</dcterms:created>
  <dc:creator>Administrator</dc:creator>
  <cp:lastModifiedBy>Administrator</cp:lastModifiedBy>
  <dcterms:modified xsi:type="dcterms:W3CDTF">2022-04-08T01:05:49Z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94B591A0102D4306953C01363E3C4D87</vt:lpwstr>
  </property>
</Properties>
</file>