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排污许可证监测技术服务项目报价文件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自行监测内容及报价</w:t>
      </w:r>
    </w:p>
    <w:tbl>
      <w:tblPr>
        <w:tblStyle w:val="3"/>
        <w:tblW w:w="9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89"/>
        <w:gridCol w:w="1276"/>
        <w:gridCol w:w="1492"/>
        <w:gridCol w:w="1201"/>
        <w:gridCol w:w="134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监测项目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监测内容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污染物名称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监测地点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执行标准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监测频次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废气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有组织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烟气流速,烟气压力,烟气量 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硫化氢、氨气、臭气浓度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污水处理站废气治理设施排放口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《恶臭污染物排放标准》（GB14554-1993）表2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每季度一次，</w:t>
            </w:r>
          </w:p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非连续采样 至少3个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无组织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温度,气压,风速,风向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硫化氢、氨气、臭气浓度、氯气、甲烷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（污水处理站周界）上风向1个，下风向3个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《医疗机构水污染物排放标准》（GB18466-2005）表3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每季度一次，</w:t>
            </w:r>
          </w:p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非连续采样 至少3个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废水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pH值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污水总排口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《医疗机构水染污物排放标准》（GB18466-2005）表2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每12小时一次，瞬时采样 至少3个瞬时样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悬浮物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每周一次，瞬时采样 至少3个瞬时样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粪大肠菌群数/（MPN/L）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每月一次，瞬时采样 至少3个瞬时样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五日生化需氧量、阴离子表面活性剂、石油类、动植物油、挥发酚、总氰化物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每季度一次，瞬时采样 至少3个瞬时样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噪声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5"/>
              <w:spacing w:before="62" w:beforeLines="20" w:line="360" w:lineRule="auto"/>
              <w:ind w:firstLine="0" w:firstLineChars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厂界噪声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厂界四周外1m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《工业企业厂界环境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》</w:t>
            </w:r>
            <w:r>
              <w:rPr>
                <w:rFonts w:ascii="Times New Roman" w:hAnsi="Times New Roman"/>
                <w:color w:val="000000"/>
                <w:szCs w:val="21"/>
              </w:rPr>
              <w:t>噪声排放标准》（GB12348-2008）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类标准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每季度一次，</w:t>
            </w:r>
            <w:r>
              <w:rPr>
                <w:rFonts w:ascii="Times New Roman" w:hAnsi="Times New Roman"/>
                <w:color w:val="000000"/>
                <w:szCs w:val="21"/>
              </w:rPr>
              <w:t>每天两次（昼、夜各一次）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6959" w:type="dxa"/>
            <w:gridSpan w:val="5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before="62" w:beforeLines="20" w:line="360" w:lineRule="auto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</w:tr>
    </w:tbl>
    <w:p>
      <w:pPr>
        <w:pStyle w:val="2"/>
        <w:spacing w:before="468" w:beforeLines="150" w:after="100" w:afterAutospacing="1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证后管理服务内容及报价</w:t>
      </w:r>
    </w:p>
    <w:p>
      <w:pPr>
        <w:spacing w:before="312" w:beforeLines="100" w:after="312" w:afterLines="10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按照《排污许可证管理办法（试行）》（环境保护部令48号）、自行监测和环保部门的相关要求，对照“监测点位、项目及频次表”的具体要求，完成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</w:rPr>
        <w:t>排污许可证证后管理工作。包括但不限于以下3条：</w:t>
      </w:r>
    </w:p>
    <w:p>
      <w:pPr>
        <w:spacing w:before="312" w:beforeLines="100" w:after="312" w:afterLines="10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1、在全国排污许可证信息管理平台公开端上填报相应的信息。</w:t>
      </w:r>
    </w:p>
    <w:p>
      <w:pPr>
        <w:spacing w:before="312" w:beforeLines="100" w:after="312" w:afterLines="10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2、在安徽省排污单位自行监测信息发布平台上填报相应的信息。</w:t>
      </w:r>
    </w:p>
    <w:p>
      <w:pPr>
        <w:spacing w:before="312" w:beforeLines="100" w:after="312" w:afterLines="10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两项工作按照排污许可证上规定的项目和频次（具体见排污许可证）在平台上填报废气、废水污染物、噪声的自行监测数据；按要求、按时间节点完成自行监测方案编制；每年自行监测报告编制；季度年度执行报告编制，并完成提交、公示等相关工作。</w:t>
      </w:r>
    </w:p>
    <w:p>
      <w:pPr>
        <w:spacing w:before="312" w:beforeLines="100" w:after="312" w:afterLines="10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</w:rPr>
        <w:t>提供的各类环境管理台账、污染防治设施运行情况、危废（医疗废物）台账等，及时在上述两个平台上进行填报。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元/年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三、（一）+（二）总报价合计为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元/年。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3B5F"/>
    <w:rsid w:val="3619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2020-11-26T06:41:00Z</dcterms:created>
  <dc:creator>等风来</dc:creator>
  <cp:lastModifiedBy>等风来</cp:lastModifiedBy>
  <dcterms:modified xsi:type="dcterms:W3CDTF">2020-11-26T06:47:56Z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