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left"/>
        <w:rPr>
          <w:rFonts w:hint="default" w:ascii="黑体" w:hAnsi="黑体" w:eastAsia="黑体" w:cs="黑体"/>
          <w:sz w:val="28"/>
          <w:szCs w:val="28"/>
        </w:rPr>
      </w:pPr>
    </w:p>
    <w:p>
      <w:pPr>
        <w:ind w:firstLine="1044" w:firstLineChars="200"/>
        <w:contextualSpacing/>
        <w:jc w:val="left"/>
        <w:rPr>
          <w:rFonts w:hint="default" w:ascii="仿宋" w:hAnsi="仿宋" w:eastAsia="仿宋" w:cs="仿宋"/>
          <w:b/>
          <w:sz w:val="52"/>
          <w:szCs w:val="52"/>
        </w:rPr>
      </w:pPr>
    </w:p>
    <w:p>
      <w:pPr>
        <w:contextualSpacing/>
        <w:jc w:val="center"/>
        <w:rPr>
          <w:rFonts w:hint="default" w:ascii="仿宋" w:hAnsi="仿宋" w:eastAsia="仿宋" w:cs="仿宋"/>
          <w:b/>
          <w:sz w:val="52"/>
          <w:szCs w:val="52"/>
        </w:rPr>
      </w:pPr>
      <w:r>
        <w:rPr>
          <w:rFonts w:ascii="仿宋" w:hAnsi="仿宋" w:eastAsia="仿宋" w:cs="仿宋"/>
          <w:b/>
          <w:sz w:val="52"/>
          <w:szCs w:val="52"/>
        </w:rPr>
        <w:t xml:space="preserve">网络安全等级保护测评服务项目招标文件  </w:t>
      </w: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ind w:firstLine="1540" w:firstLineChars="550"/>
        <w:contextualSpacing/>
        <w:rPr>
          <w:rFonts w:hint="default" w:ascii="仿宋" w:hAnsi="仿宋" w:eastAsia="仿宋" w:cs="仿宋"/>
          <w:snapToGrid w:val="0"/>
          <w:sz w:val="28"/>
          <w:szCs w:val="28"/>
        </w:rPr>
      </w:pPr>
    </w:p>
    <w:p>
      <w:pPr>
        <w:contextualSpacing/>
        <w:jc w:val="center"/>
        <w:rPr>
          <w:rFonts w:hint="default" w:ascii="仿宋" w:hAnsi="仿宋" w:eastAsia="仿宋" w:cs="仿宋"/>
          <w:sz w:val="36"/>
          <w:szCs w:val="36"/>
          <w:lang w:val="en-US" w:eastAsia="zh-CN"/>
        </w:rPr>
      </w:pPr>
      <w:r>
        <w:rPr>
          <w:rFonts w:ascii="仿宋" w:hAnsi="仿宋" w:eastAsia="仿宋" w:cs="仿宋"/>
          <w:sz w:val="36"/>
          <w:szCs w:val="36"/>
        </w:rPr>
        <w:t>招标人：</w:t>
      </w:r>
      <w:r>
        <w:rPr>
          <w:rFonts w:hint="eastAsia" w:ascii="仿宋" w:hAnsi="仿宋" w:eastAsia="仿宋" w:cs="仿宋"/>
          <w:sz w:val="36"/>
          <w:szCs w:val="36"/>
          <w:lang w:val="en-US" w:eastAsia="zh-CN"/>
        </w:rPr>
        <w:t>安徽省中西医结合医院</w:t>
      </w:r>
    </w:p>
    <w:p>
      <w:pPr>
        <w:contextualSpacing/>
        <w:jc w:val="center"/>
        <w:rPr>
          <w:rFonts w:hint="default" w:ascii="仿宋" w:hAnsi="仿宋" w:eastAsia="仿宋" w:cs="仿宋"/>
          <w:sz w:val="36"/>
          <w:szCs w:val="36"/>
        </w:rPr>
        <w:sectPr>
          <w:footerReference r:id="rId5" w:type="first"/>
          <w:headerReference r:id="rId3" w:type="default"/>
          <w:footerReference r:id="rId4" w:type="even"/>
          <w:pgSz w:w="11907" w:h="16840"/>
          <w:pgMar w:top="1440" w:right="1080" w:bottom="1440" w:left="1080" w:header="851" w:footer="992" w:gutter="0"/>
          <w:pgNumType w:fmt="numberInDash"/>
          <w:cols w:space="720" w:num="1"/>
          <w:titlePg/>
          <w:docGrid w:type="lines" w:linePitch="435" w:charSpace="0"/>
        </w:sectPr>
      </w:pPr>
      <w:r>
        <w:rPr>
          <w:rFonts w:hint="eastAsia" w:ascii="仿宋" w:hAnsi="仿宋" w:eastAsia="仿宋" w:cs="仿宋"/>
          <w:sz w:val="36"/>
          <w:szCs w:val="36"/>
          <w:lang w:val="en-US" w:eastAsia="zh-CN"/>
        </w:rPr>
        <w:t xml:space="preserve">   </w:t>
      </w:r>
      <w:r>
        <w:rPr>
          <w:rFonts w:ascii="仿宋" w:hAnsi="仿宋" w:eastAsia="仿宋" w:cs="仿宋"/>
          <w:sz w:val="36"/>
          <w:szCs w:val="36"/>
        </w:rPr>
        <w:t>2</w:t>
      </w:r>
      <w:r>
        <w:rPr>
          <w:rFonts w:hint="default" w:ascii="仿宋" w:hAnsi="仿宋" w:eastAsia="仿宋" w:cs="仿宋"/>
          <w:sz w:val="36"/>
          <w:szCs w:val="36"/>
        </w:rPr>
        <w:t>0</w:t>
      </w:r>
      <w:r>
        <w:rPr>
          <w:rFonts w:hint="eastAsia" w:ascii="仿宋" w:hAnsi="仿宋" w:eastAsia="仿宋" w:cs="仿宋"/>
          <w:sz w:val="36"/>
          <w:szCs w:val="36"/>
          <w:lang w:val="en-US" w:eastAsia="zh-CN"/>
        </w:rPr>
        <w:t>20</w:t>
      </w:r>
      <w:r>
        <w:rPr>
          <w:rFonts w:ascii="仿宋" w:hAnsi="仿宋" w:eastAsia="仿宋" w:cs="仿宋"/>
          <w:sz w:val="36"/>
          <w:szCs w:val="36"/>
        </w:rPr>
        <w:t>年</w:t>
      </w:r>
      <w:r>
        <w:rPr>
          <w:rFonts w:hint="eastAsia" w:ascii="仿宋" w:hAnsi="仿宋" w:eastAsia="仿宋" w:cs="仿宋"/>
          <w:sz w:val="36"/>
          <w:szCs w:val="36"/>
          <w:lang w:val="en-US" w:eastAsia="zh-CN"/>
        </w:rPr>
        <w:t>8</w:t>
      </w:r>
      <w:r>
        <w:rPr>
          <w:rFonts w:ascii="仿宋" w:hAnsi="仿宋" w:eastAsia="仿宋" w:cs="仿宋"/>
          <w:sz w:val="36"/>
          <w:szCs w:val="36"/>
        </w:rPr>
        <w:t>月</w:t>
      </w:r>
      <w:r>
        <w:rPr>
          <w:rFonts w:hint="eastAsia" w:ascii="仿宋" w:hAnsi="仿宋" w:eastAsia="仿宋" w:cs="仿宋"/>
          <w:sz w:val="36"/>
          <w:szCs w:val="36"/>
          <w:lang w:val="en-US" w:eastAsia="zh-CN"/>
        </w:rPr>
        <w:t>11</w:t>
      </w:r>
      <w:r>
        <w:rPr>
          <w:rFonts w:ascii="仿宋" w:hAnsi="仿宋" w:eastAsia="仿宋" w:cs="仿宋"/>
          <w:sz w:val="36"/>
          <w:szCs w:val="36"/>
        </w:rPr>
        <w:t>日</w:t>
      </w:r>
    </w:p>
    <w:sdt>
      <w:sdtPr>
        <w:rPr>
          <w:rFonts w:hint="eastAsia" w:ascii="宋体" w:hAnsi="宋体" w:eastAsia="宋体" w:cs="Times New Roman"/>
          <w:kern w:val="2"/>
          <w:sz w:val="21"/>
          <w:lang w:val="en-US" w:eastAsia="zh-CN" w:bidi="ar-SA"/>
        </w:rPr>
        <w:id w:val="147456383"/>
        <w15:color w:val="DBDBDB"/>
        <w:docPartObj>
          <w:docPartGallery w:val="Table of Contents"/>
          <w:docPartUnique/>
        </w:docPartObj>
      </w:sdtPr>
      <w:sdtEndPr>
        <w:rPr>
          <w:rFonts w:hint="eastAsia" w:ascii="宋体" w:hAnsi="宋体" w:eastAsia="宋体" w:cs="Times New Roman"/>
          <w:b/>
          <w:kern w:val="2"/>
          <w:sz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0" w:name="_Toc8474"/>
          <w:r>
            <w:rPr>
              <w:rFonts w:hint="eastAsia" w:ascii="仿宋" w:hAnsi="仿宋" w:eastAsia="仿宋" w:cs="仿宋"/>
              <w:sz w:val="32"/>
              <w:szCs w:val="32"/>
            </w:rPr>
            <w:t>目录</w:t>
          </w:r>
        </w:p>
        <w:p>
          <w:pPr>
            <w:pStyle w:val="17"/>
            <w:tabs>
              <w:tab w:val="right" w:leader="dot" w:pos="9747"/>
            </w:tabs>
            <w:rPr>
              <w:rFonts w:hint="eastAsia" w:ascii="仿宋" w:hAnsi="仿宋" w:eastAsia="仿宋" w:cs="仿宋"/>
              <w:b/>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_Toc6740 </w:instrText>
          </w:r>
          <w:r>
            <w:rPr>
              <w:rFonts w:hint="eastAsia" w:ascii="仿宋" w:hAnsi="仿宋" w:eastAsia="仿宋" w:cs="仿宋"/>
              <w:b/>
              <w:sz w:val="32"/>
              <w:szCs w:val="32"/>
            </w:rPr>
            <w:fldChar w:fldCharType="separate"/>
          </w:r>
          <w:r>
            <w:rPr>
              <w:rFonts w:hint="eastAsia" w:ascii="仿宋" w:hAnsi="仿宋" w:eastAsia="仿宋" w:cs="仿宋"/>
              <w:b/>
              <w:sz w:val="32"/>
              <w:szCs w:val="32"/>
            </w:rPr>
            <w:t>第一章  投标人须知</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_Toc6740 </w:instrText>
          </w:r>
          <w:r>
            <w:rPr>
              <w:rFonts w:hint="eastAsia" w:ascii="仿宋" w:hAnsi="仿宋" w:eastAsia="仿宋" w:cs="仿宋"/>
              <w:b/>
              <w:sz w:val="32"/>
              <w:szCs w:val="32"/>
            </w:rPr>
            <w:fldChar w:fldCharType="separate"/>
          </w:r>
          <w:r>
            <w:rPr>
              <w:rFonts w:hint="eastAsia" w:ascii="仿宋" w:hAnsi="仿宋" w:eastAsia="仿宋" w:cs="仿宋"/>
              <w:b/>
              <w:sz w:val="32"/>
              <w:szCs w:val="32"/>
            </w:rPr>
            <w:t>- 1 -</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_Toc9353 </w:instrText>
          </w:r>
          <w:r>
            <w:rPr>
              <w:rFonts w:hint="eastAsia" w:ascii="仿宋" w:hAnsi="仿宋" w:eastAsia="仿宋" w:cs="仿宋"/>
              <w:sz w:val="32"/>
              <w:szCs w:val="32"/>
            </w:rPr>
            <w:fldChar w:fldCharType="separate"/>
          </w:r>
          <w:r>
            <w:rPr>
              <w:rFonts w:hint="eastAsia" w:ascii="仿宋" w:hAnsi="仿宋" w:eastAsia="仿宋" w:cs="仿宋"/>
              <w:sz w:val="32"/>
              <w:szCs w:val="32"/>
            </w:rPr>
            <w:t>一、招标方式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_Toc9353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_Toc5531 </w:instrText>
          </w:r>
          <w:r>
            <w:rPr>
              <w:rFonts w:hint="eastAsia" w:ascii="仿宋" w:hAnsi="仿宋" w:eastAsia="仿宋" w:cs="仿宋"/>
              <w:sz w:val="32"/>
              <w:szCs w:val="32"/>
            </w:rPr>
            <w:fldChar w:fldCharType="separate"/>
          </w:r>
          <w:r>
            <w:rPr>
              <w:rFonts w:hint="eastAsia" w:ascii="仿宋" w:hAnsi="仿宋" w:eastAsia="仿宋" w:cs="仿宋"/>
              <w:sz w:val="32"/>
              <w:szCs w:val="32"/>
            </w:rPr>
            <w:t>二、项目概况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_Toc5531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_Toc639 </w:instrText>
          </w:r>
          <w:r>
            <w:rPr>
              <w:rFonts w:hint="eastAsia" w:ascii="仿宋" w:hAnsi="仿宋" w:eastAsia="仿宋" w:cs="仿宋"/>
              <w:sz w:val="32"/>
              <w:szCs w:val="32"/>
            </w:rPr>
            <w:fldChar w:fldCharType="separate"/>
          </w:r>
          <w:r>
            <w:rPr>
              <w:rFonts w:hint="eastAsia" w:ascii="仿宋" w:hAnsi="仿宋" w:eastAsia="仿宋" w:cs="仿宋"/>
              <w:sz w:val="32"/>
              <w:szCs w:val="32"/>
            </w:rPr>
            <w:t>三、投标人资格要求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_Toc639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_Toc28151 </w:instrText>
          </w:r>
          <w:r>
            <w:rPr>
              <w:rFonts w:hint="eastAsia" w:ascii="仿宋" w:hAnsi="仿宋" w:eastAsia="仿宋" w:cs="仿宋"/>
              <w:sz w:val="32"/>
              <w:szCs w:val="32"/>
            </w:rPr>
            <w:fldChar w:fldCharType="separate"/>
          </w:r>
          <w:r>
            <w:rPr>
              <w:rFonts w:hint="eastAsia" w:ascii="仿宋" w:hAnsi="仿宋" w:eastAsia="仿宋" w:cs="仿宋"/>
              <w:sz w:val="32"/>
              <w:szCs w:val="32"/>
            </w:rPr>
            <w:t>四、招标文件的获取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_Toc28151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_Toc32215 </w:instrText>
          </w:r>
          <w:r>
            <w:rPr>
              <w:rFonts w:hint="eastAsia" w:ascii="仿宋" w:hAnsi="仿宋" w:eastAsia="仿宋" w:cs="仿宋"/>
              <w:sz w:val="32"/>
              <w:szCs w:val="32"/>
            </w:rPr>
            <w:fldChar w:fldCharType="separate"/>
          </w:r>
          <w:r>
            <w:rPr>
              <w:rFonts w:hint="eastAsia" w:ascii="仿宋" w:hAnsi="仿宋" w:eastAsia="仿宋" w:cs="仿宋"/>
              <w:sz w:val="32"/>
              <w:szCs w:val="32"/>
            </w:rPr>
            <w:t>五、招标联系人信息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_Toc32215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_Toc23884 </w:instrText>
          </w:r>
          <w:r>
            <w:rPr>
              <w:rFonts w:hint="eastAsia" w:ascii="仿宋" w:hAnsi="仿宋" w:eastAsia="仿宋" w:cs="仿宋"/>
              <w:sz w:val="32"/>
              <w:szCs w:val="32"/>
            </w:rPr>
            <w:fldChar w:fldCharType="separate"/>
          </w:r>
          <w:r>
            <w:rPr>
              <w:rFonts w:hint="eastAsia" w:ascii="仿宋" w:hAnsi="仿宋" w:eastAsia="仿宋" w:cs="仿宋"/>
              <w:sz w:val="32"/>
              <w:szCs w:val="32"/>
            </w:rPr>
            <w:t>六、招标须知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_Toc23884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7"/>
            <w:tabs>
              <w:tab w:val="right" w:leader="dot" w:pos="9747"/>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_Toc16348 </w:instrText>
          </w:r>
          <w:r>
            <w:rPr>
              <w:rFonts w:hint="eastAsia" w:ascii="仿宋" w:hAnsi="仿宋" w:eastAsia="仿宋" w:cs="仿宋"/>
              <w:b/>
              <w:sz w:val="32"/>
              <w:szCs w:val="32"/>
            </w:rPr>
            <w:fldChar w:fldCharType="separate"/>
          </w:r>
          <w:r>
            <w:rPr>
              <w:rFonts w:hint="eastAsia" w:ascii="仿宋" w:hAnsi="仿宋" w:eastAsia="仿宋" w:cs="仿宋"/>
              <w:b/>
              <w:sz w:val="32"/>
              <w:szCs w:val="32"/>
            </w:rPr>
            <w:t>第二章 网络安全等级保护测评服务项目招标书</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_Toc16348 </w:instrText>
          </w:r>
          <w:r>
            <w:rPr>
              <w:rFonts w:hint="eastAsia" w:ascii="仿宋" w:hAnsi="仿宋" w:eastAsia="仿宋" w:cs="仿宋"/>
              <w:b/>
              <w:sz w:val="32"/>
              <w:szCs w:val="32"/>
            </w:rPr>
            <w:fldChar w:fldCharType="separate"/>
          </w:r>
          <w:r>
            <w:rPr>
              <w:rFonts w:hint="eastAsia" w:ascii="仿宋" w:hAnsi="仿宋" w:eastAsia="仿宋" w:cs="仿宋"/>
              <w:b/>
              <w:sz w:val="32"/>
              <w:szCs w:val="32"/>
            </w:rPr>
            <w:t>- 9 -</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_Toc19152 </w:instrText>
          </w:r>
          <w:r>
            <w:rPr>
              <w:rFonts w:hint="eastAsia" w:ascii="仿宋" w:hAnsi="仿宋" w:eastAsia="仿宋" w:cs="仿宋"/>
              <w:sz w:val="32"/>
              <w:szCs w:val="32"/>
            </w:rPr>
            <w:fldChar w:fldCharType="separate"/>
          </w:r>
          <w:r>
            <w:rPr>
              <w:rFonts w:hint="eastAsia" w:ascii="仿宋" w:hAnsi="仿宋" w:eastAsia="仿宋" w:cs="仿宋"/>
              <w:sz w:val="32"/>
              <w:szCs w:val="32"/>
            </w:rPr>
            <w:t>一、投标文件的组成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_Toc19152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_Toc12728 </w:instrText>
          </w:r>
          <w:r>
            <w:rPr>
              <w:rFonts w:hint="eastAsia" w:ascii="仿宋" w:hAnsi="仿宋" w:eastAsia="仿宋" w:cs="仿宋"/>
              <w:sz w:val="32"/>
              <w:szCs w:val="32"/>
            </w:rPr>
            <w:fldChar w:fldCharType="separate"/>
          </w:r>
          <w:r>
            <w:rPr>
              <w:rFonts w:hint="eastAsia" w:ascii="仿宋" w:hAnsi="仿宋" w:eastAsia="仿宋" w:cs="仿宋"/>
              <w:sz w:val="32"/>
              <w:szCs w:val="32"/>
            </w:rPr>
            <w:t>二、投标文件要求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_Toc12728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_Toc18085 </w:instrText>
          </w:r>
          <w:r>
            <w:rPr>
              <w:rFonts w:hint="eastAsia" w:ascii="仿宋" w:hAnsi="仿宋" w:eastAsia="仿宋" w:cs="仿宋"/>
              <w:sz w:val="32"/>
              <w:szCs w:val="32"/>
            </w:rPr>
            <w:fldChar w:fldCharType="separate"/>
          </w:r>
          <w:r>
            <w:rPr>
              <w:rFonts w:hint="eastAsia" w:ascii="仿宋" w:hAnsi="仿宋" w:eastAsia="仿宋" w:cs="仿宋"/>
              <w:sz w:val="32"/>
              <w:szCs w:val="32"/>
            </w:rPr>
            <w:t>三、投标文件的递交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_Toc18085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_Toc18462 </w:instrText>
          </w:r>
          <w:r>
            <w:rPr>
              <w:rFonts w:hint="eastAsia" w:ascii="仿宋" w:hAnsi="仿宋" w:eastAsia="仿宋" w:cs="仿宋"/>
              <w:sz w:val="32"/>
              <w:szCs w:val="32"/>
            </w:rPr>
            <w:fldChar w:fldCharType="separate"/>
          </w:r>
          <w:r>
            <w:rPr>
              <w:rFonts w:hint="eastAsia" w:ascii="仿宋" w:hAnsi="仿宋" w:eastAsia="仿宋" w:cs="仿宋"/>
              <w:sz w:val="32"/>
              <w:szCs w:val="32"/>
            </w:rPr>
            <w:t>四、投标文件的修改和撤回</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_Toc18462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_Toc27494 </w:instrText>
          </w:r>
          <w:r>
            <w:rPr>
              <w:rFonts w:hint="eastAsia" w:ascii="仿宋" w:hAnsi="仿宋" w:eastAsia="仿宋" w:cs="仿宋"/>
              <w:sz w:val="32"/>
              <w:szCs w:val="32"/>
            </w:rPr>
            <w:fldChar w:fldCharType="separate"/>
          </w:r>
          <w:r>
            <w:rPr>
              <w:rFonts w:hint="eastAsia" w:ascii="仿宋" w:hAnsi="仿宋" w:eastAsia="仿宋" w:cs="仿宋"/>
              <w:sz w:val="32"/>
              <w:szCs w:val="32"/>
            </w:rPr>
            <w:t>五、开标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_Toc27494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_Toc4391 </w:instrText>
          </w:r>
          <w:r>
            <w:rPr>
              <w:rFonts w:hint="eastAsia" w:ascii="仿宋" w:hAnsi="仿宋" w:eastAsia="仿宋" w:cs="仿宋"/>
              <w:sz w:val="32"/>
              <w:szCs w:val="32"/>
            </w:rPr>
            <w:fldChar w:fldCharType="separate"/>
          </w:r>
          <w:r>
            <w:rPr>
              <w:rFonts w:hint="eastAsia" w:ascii="仿宋" w:hAnsi="仿宋" w:eastAsia="仿宋" w:cs="仿宋"/>
              <w:sz w:val="32"/>
              <w:szCs w:val="32"/>
            </w:rPr>
            <w:t>六、开标程序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_Toc4391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_Toc7429 </w:instrText>
          </w:r>
          <w:r>
            <w:rPr>
              <w:rFonts w:hint="eastAsia" w:ascii="仿宋" w:hAnsi="仿宋" w:eastAsia="仿宋" w:cs="仿宋"/>
              <w:sz w:val="32"/>
              <w:szCs w:val="32"/>
            </w:rPr>
            <w:fldChar w:fldCharType="separate"/>
          </w:r>
          <w:r>
            <w:rPr>
              <w:rFonts w:hint="eastAsia" w:ascii="仿宋" w:hAnsi="仿宋" w:eastAsia="仿宋" w:cs="仿宋"/>
              <w:sz w:val="32"/>
              <w:szCs w:val="32"/>
            </w:rPr>
            <w:t>七、评标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_Toc7429 </w:instrText>
          </w:r>
          <w:r>
            <w:rPr>
              <w:rFonts w:hint="eastAsia" w:ascii="仿宋" w:hAnsi="仿宋" w:eastAsia="仿宋" w:cs="仿宋"/>
              <w:sz w:val="32"/>
              <w:szCs w:val="32"/>
            </w:rPr>
            <w:fldChar w:fldCharType="separate"/>
          </w:r>
          <w:r>
            <w:rPr>
              <w:rFonts w:hint="eastAsia" w:ascii="仿宋" w:hAnsi="仿宋" w:eastAsia="仿宋" w:cs="仿宋"/>
              <w:sz w:val="32"/>
              <w:szCs w:val="32"/>
            </w:rPr>
            <w:t>- 12 -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_Toc15929 </w:instrText>
          </w:r>
          <w:r>
            <w:rPr>
              <w:rFonts w:hint="eastAsia" w:ascii="仿宋" w:hAnsi="仿宋" w:eastAsia="仿宋" w:cs="仿宋"/>
              <w:sz w:val="32"/>
              <w:szCs w:val="32"/>
            </w:rPr>
            <w:fldChar w:fldCharType="separate"/>
          </w:r>
          <w:r>
            <w:rPr>
              <w:rFonts w:hint="eastAsia" w:ascii="仿宋" w:hAnsi="仿宋" w:eastAsia="仿宋" w:cs="仿宋"/>
              <w:sz w:val="32"/>
              <w:szCs w:val="32"/>
            </w:rPr>
            <w:t>八、废标处理条件：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_Toc15929 </w:instrText>
          </w:r>
          <w:r>
            <w:rPr>
              <w:rFonts w:hint="eastAsia" w:ascii="仿宋" w:hAnsi="仿宋" w:eastAsia="仿宋" w:cs="仿宋"/>
              <w:sz w:val="32"/>
              <w:szCs w:val="32"/>
            </w:rPr>
            <w:fldChar w:fldCharType="separate"/>
          </w:r>
          <w:r>
            <w:rPr>
              <w:rFonts w:hint="eastAsia" w:ascii="仿宋" w:hAnsi="仿宋" w:eastAsia="仿宋" w:cs="仿宋"/>
              <w:sz w:val="32"/>
              <w:szCs w:val="32"/>
            </w:rPr>
            <w:t>- 14 -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_Toc6055 </w:instrText>
          </w:r>
          <w:r>
            <w:rPr>
              <w:rFonts w:hint="eastAsia" w:ascii="仿宋" w:hAnsi="仿宋" w:eastAsia="仿宋" w:cs="仿宋"/>
              <w:sz w:val="32"/>
              <w:szCs w:val="32"/>
            </w:rPr>
            <w:fldChar w:fldCharType="separate"/>
          </w:r>
          <w:r>
            <w:rPr>
              <w:rFonts w:hint="eastAsia" w:ascii="仿宋" w:hAnsi="仿宋" w:eastAsia="仿宋" w:cs="仿宋"/>
              <w:sz w:val="32"/>
              <w:szCs w:val="32"/>
            </w:rPr>
            <w:t>十、纪律和监督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_Toc6055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7"/>
            <w:tabs>
              <w:tab w:val="right" w:leader="dot" w:pos="9747"/>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_Toc29162 </w:instrText>
          </w:r>
          <w:r>
            <w:rPr>
              <w:rFonts w:hint="eastAsia" w:ascii="仿宋" w:hAnsi="仿宋" w:eastAsia="仿宋" w:cs="仿宋"/>
              <w:b/>
              <w:sz w:val="32"/>
              <w:szCs w:val="32"/>
            </w:rPr>
            <w:fldChar w:fldCharType="separate"/>
          </w:r>
          <w:r>
            <w:rPr>
              <w:rFonts w:hint="eastAsia" w:ascii="仿宋" w:hAnsi="仿宋" w:eastAsia="仿宋" w:cs="仿宋"/>
              <w:b/>
              <w:sz w:val="32"/>
              <w:szCs w:val="32"/>
            </w:rPr>
            <w:t>第三章 评分细则</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_Toc29162 </w:instrText>
          </w:r>
          <w:r>
            <w:rPr>
              <w:rFonts w:hint="eastAsia" w:ascii="仿宋" w:hAnsi="仿宋" w:eastAsia="仿宋" w:cs="仿宋"/>
              <w:b/>
              <w:sz w:val="32"/>
              <w:szCs w:val="32"/>
            </w:rPr>
            <w:fldChar w:fldCharType="separate"/>
          </w:r>
          <w:r>
            <w:rPr>
              <w:rFonts w:hint="eastAsia" w:ascii="仿宋" w:hAnsi="仿宋" w:eastAsia="仿宋" w:cs="仿宋"/>
              <w:b/>
              <w:sz w:val="32"/>
              <w:szCs w:val="32"/>
            </w:rPr>
            <w:t>- 17 -</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17"/>
            <w:tabs>
              <w:tab w:val="right" w:leader="dot" w:pos="9747"/>
            </w:tabs>
            <w:rPr>
              <w:rFonts w:hint="eastAsia"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HYPERLINK \l _Toc5738 </w:instrText>
          </w:r>
          <w:r>
            <w:rPr>
              <w:rFonts w:hint="eastAsia" w:ascii="仿宋" w:hAnsi="仿宋" w:eastAsia="仿宋" w:cs="仿宋"/>
              <w:b/>
              <w:sz w:val="32"/>
              <w:szCs w:val="32"/>
            </w:rPr>
            <w:fldChar w:fldCharType="separate"/>
          </w:r>
          <w:r>
            <w:rPr>
              <w:rFonts w:hint="eastAsia" w:ascii="仿宋" w:hAnsi="仿宋" w:eastAsia="仿宋" w:cs="仿宋"/>
              <w:b/>
              <w:sz w:val="32"/>
              <w:szCs w:val="32"/>
            </w:rPr>
            <w:t>第四章  附件</w:t>
          </w:r>
          <w:r>
            <w:rPr>
              <w:rFonts w:hint="eastAsia" w:ascii="仿宋" w:hAnsi="仿宋" w:eastAsia="仿宋" w:cs="仿宋"/>
              <w:b/>
              <w:sz w:val="32"/>
              <w:szCs w:val="32"/>
            </w:rPr>
            <w:tab/>
          </w: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PAGEREF _Toc5738 </w:instrText>
          </w:r>
          <w:r>
            <w:rPr>
              <w:rFonts w:hint="eastAsia" w:ascii="仿宋" w:hAnsi="仿宋" w:eastAsia="仿宋" w:cs="仿宋"/>
              <w:b/>
              <w:sz w:val="32"/>
              <w:szCs w:val="32"/>
            </w:rPr>
            <w:fldChar w:fldCharType="separate"/>
          </w:r>
          <w:r>
            <w:rPr>
              <w:rFonts w:hint="eastAsia" w:ascii="仿宋" w:hAnsi="仿宋" w:eastAsia="仿宋" w:cs="仿宋"/>
              <w:b/>
              <w:sz w:val="32"/>
              <w:szCs w:val="32"/>
            </w:rPr>
            <w:t>- 20 -</w:t>
          </w:r>
          <w:r>
            <w:rPr>
              <w:rFonts w:hint="eastAsia" w:ascii="仿宋" w:hAnsi="仿宋" w:eastAsia="仿宋" w:cs="仿宋"/>
              <w:b/>
              <w:sz w:val="32"/>
              <w:szCs w:val="32"/>
            </w:rPr>
            <w:fldChar w:fldCharType="end"/>
          </w:r>
          <w:r>
            <w:rPr>
              <w:rFonts w:hint="eastAsia" w:ascii="仿宋" w:hAnsi="仿宋" w:eastAsia="仿宋" w:cs="仿宋"/>
              <w:b/>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_Toc6721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附件1 投标函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_Toc6721 </w:instrText>
          </w:r>
          <w:r>
            <w:rPr>
              <w:rFonts w:hint="eastAsia" w:ascii="仿宋" w:hAnsi="仿宋" w:eastAsia="仿宋" w:cs="仿宋"/>
              <w:sz w:val="32"/>
              <w:szCs w:val="32"/>
            </w:rPr>
            <w:fldChar w:fldCharType="separate"/>
          </w:r>
          <w:r>
            <w:rPr>
              <w:rFonts w:hint="eastAsia" w:ascii="仿宋" w:hAnsi="仿宋" w:eastAsia="仿宋" w:cs="仿宋"/>
              <w:sz w:val="32"/>
              <w:szCs w:val="32"/>
            </w:rPr>
            <w:t>- 20 -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_Toc22829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附件2 投标承诺书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_Toc22829 </w:instrText>
          </w:r>
          <w:r>
            <w:rPr>
              <w:rFonts w:hint="eastAsia" w:ascii="仿宋" w:hAnsi="仿宋" w:eastAsia="仿宋" w:cs="仿宋"/>
              <w:sz w:val="32"/>
              <w:szCs w:val="32"/>
            </w:rPr>
            <w:fldChar w:fldCharType="separate"/>
          </w:r>
          <w:r>
            <w:rPr>
              <w:rFonts w:hint="eastAsia" w:ascii="仿宋" w:hAnsi="仿宋" w:eastAsia="仿宋" w:cs="仿宋"/>
              <w:sz w:val="32"/>
              <w:szCs w:val="32"/>
            </w:rPr>
            <w:t>- 21 -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_Toc8645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附件3 法定代表人授权委托书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_Toc8645 </w:instrText>
          </w:r>
          <w:r>
            <w:rPr>
              <w:rFonts w:hint="eastAsia" w:ascii="仿宋" w:hAnsi="仿宋" w:eastAsia="仿宋" w:cs="仿宋"/>
              <w:sz w:val="32"/>
              <w:szCs w:val="32"/>
            </w:rPr>
            <w:fldChar w:fldCharType="separate"/>
          </w:r>
          <w:r>
            <w:rPr>
              <w:rFonts w:hint="eastAsia" w:ascii="仿宋" w:hAnsi="仿宋" w:eastAsia="仿宋" w:cs="仿宋"/>
              <w:sz w:val="32"/>
              <w:szCs w:val="32"/>
            </w:rPr>
            <w:t>- 23 -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_Toc18905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附件4 投标人声明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_Toc18905 </w:instrText>
          </w:r>
          <w:r>
            <w:rPr>
              <w:rFonts w:hint="eastAsia" w:ascii="仿宋" w:hAnsi="仿宋" w:eastAsia="仿宋" w:cs="仿宋"/>
              <w:sz w:val="32"/>
              <w:szCs w:val="32"/>
            </w:rPr>
            <w:fldChar w:fldCharType="separate"/>
          </w:r>
          <w:r>
            <w:rPr>
              <w:rFonts w:hint="eastAsia" w:ascii="仿宋" w:hAnsi="仿宋" w:eastAsia="仿宋" w:cs="仿宋"/>
              <w:sz w:val="32"/>
              <w:szCs w:val="32"/>
            </w:rPr>
            <w:t>- 24 -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_Toc22071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附件5 投标报价表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_Toc22071 </w:instrText>
          </w:r>
          <w:r>
            <w:rPr>
              <w:rFonts w:hint="eastAsia" w:ascii="仿宋" w:hAnsi="仿宋" w:eastAsia="仿宋" w:cs="仿宋"/>
              <w:sz w:val="32"/>
              <w:szCs w:val="32"/>
            </w:rPr>
            <w:fldChar w:fldCharType="separate"/>
          </w:r>
          <w:r>
            <w:rPr>
              <w:rFonts w:hint="eastAsia" w:ascii="仿宋" w:hAnsi="仿宋" w:eastAsia="仿宋" w:cs="仿宋"/>
              <w:sz w:val="32"/>
              <w:szCs w:val="32"/>
            </w:rPr>
            <w:t>- 25 -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9747"/>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_Toc17599 </w:instrText>
          </w:r>
          <w:r>
            <w:rPr>
              <w:rFonts w:hint="eastAsia" w:ascii="仿宋" w:hAnsi="仿宋" w:eastAsia="仿宋" w:cs="仿宋"/>
              <w:sz w:val="32"/>
              <w:szCs w:val="32"/>
            </w:rPr>
            <w:fldChar w:fldCharType="separate"/>
          </w:r>
          <w:r>
            <w:rPr>
              <w:rFonts w:hint="eastAsia" w:ascii="仿宋" w:hAnsi="仿宋" w:eastAsia="仿宋" w:cs="仿宋"/>
              <w:bCs/>
              <w:sz w:val="32"/>
              <w:szCs w:val="32"/>
            </w:rPr>
            <w:t>附件6 买卖合同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_Toc17599 </w:instrText>
          </w:r>
          <w:r>
            <w:rPr>
              <w:rFonts w:hint="eastAsia" w:ascii="仿宋" w:hAnsi="仿宋" w:eastAsia="仿宋" w:cs="仿宋"/>
              <w:sz w:val="32"/>
              <w:szCs w:val="32"/>
            </w:rPr>
            <w:fldChar w:fldCharType="separate"/>
          </w:r>
          <w:r>
            <w:rPr>
              <w:rFonts w:hint="eastAsia" w:ascii="仿宋" w:hAnsi="仿宋" w:eastAsia="仿宋" w:cs="仿宋"/>
              <w:sz w:val="32"/>
              <w:szCs w:val="32"/>
            </w:rPr>
            <w:t>- 27 -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rPr>
              <w:b/>
            </w:rPr>
          </w:pPr>
          <w:r>
            <w:rPr>
              <w:rFonts w:hint="eastAsia" w:ascii="仿宋" w:hAnsi="仿宋" w:eastAsia="仿宋" w:cs="仿宋"/>
              <w:b/>
              <w:sz w:val="32"/>
              <w:szCs w:val="32"/>
            </w:rPr>
            <w:fldChar w:fldCharType="end"/>
          </w:r>
        </w:p>
      </w:sdtContent>
    </w:sdt>
    <w:p>
      <w:pPr>
        <w:rPr>
          <w:b/>
        </w:rPr>
      </w:pPr>
    </w:p>
    <w:p>
      <w:pPr>
        <w:pStyle w:val="2"/>
        <w:spacing w:before="0" w:after="0" w:line="360" w:lineRule="auto"/>
        <w:contextualSpacing/>
        <w:jc w:val="center"/>
        <w:rPr>
          <w:rFonts w:hint="eastAsia" w:ascii="仿宋_GB2312" w:hAnsi="仿宋" w:eastAsia="仿宋_GB2312" w:cs="仿宋"/>
          <w:sz w:val="32"/>
          <w:szCs w:val="32"/>
        </w:rPr>
        <w:sectPr>
          <w:footerReference r:id="rId7" w:type="first"/>
          <w:footerReference r:id="rId6" w:type="default"/>
          <w:pgSz w:w="11907" w:h="16840"/>
          <w:pgMar w:top="1440" w:right="1080" w:bottom="1440" w:left="1080" w:header="851" w:footer="992" w:gutter="0"/>
          <w:pgNumType w:fmt="numberInDash" w:start="1"/>
          <w:cols w:space="720" w:num="1"/>
          <w:titlePg/>
          <w:docGrid w:type="linesAndChars" w:linePitch="435" w:charSpace="0"/>
        </w:sectPr>
      </w:pPr>
      <w:bookmarkStart w:id="1" w:name="_Toc6740"/>
    </w:p>
    <w:p>
      <w:pPr>
        <w:pStyle w:val="2"/>
        <w:spacing w:before="0" w:after="0" w:line="360" w:lineRule="auto"/>
        <w:contextualSpacing/>
        <w:jc w:val="center"/>
        <w:rPr>
          <w:rFonts w:ascii="仿宋_GB2312" w:hAnsi="仿宋" w:eastAsia="仿宋_GB2312" w:cs="仿宋"/>
          <w:sz w:val="32"/>
          <w:szCs w:val="32"/>
        </w:rPr>
      </w:pPr>
      <w:r>
        <w:rPr>
          <w:rFonts w:hint="eastAsia" w:ascii="仿宋_GB2312" w:hAnsi="仿宋" w:eastAsia="仿宋_GB2312" w:cs="仿宋"/>
          <w:sz w:val="32"/>
          <w:szCs w:val="32"/>
        </w:rPr>
        <w:t>第一章  投标人须知</w:t>
      </w:r>
      <w:bookmarkEnd w:id="0"/>
      <w:bookmarkEnd w:id="1"/>
    </w:p>
    <w:p>
      <w:pPr>
        <w:pStyle w:val="3"/>
        <w:adjustRightInd w:val="0"/>
        <w:spacing w:before="0" w:after="0" w:line="360" w:lineRule="auto"/>
        <w:contextualSpacing/>
        <w:rPr>
          <w:rFonts w:ascii="仿宋_GB2312" w:hAnsi="仿宋" w:eastAsia="仿宋_GB2312" w:cs="仿宋"/>
          <w:b w:val="0"/>
          <w:szCs w:val="32"/>
        </w:rPr>
      </w:pPr>
      <w:bookmarkStart w:id="2" w:name="_Toc32144"/>
      <w:bookmarkStart w:id="3" w:name="_Toc9353"/>
      <w:bookmarkStart w:id="4" w:name="_Toc12520071"/>
      <w:r>
        <w:rPr>
          <w:rFonts w:hint="eastAsia" w:ascii="仿宋_GB2312" w:hAnsi="仿宋" w:eastAsia="仿宋_GB2312" w:cs="仿宋"/>
          <w:b w:val="0"/>
          <w:szCs w:val="32"/>
        </w:rPr>
        <w:t>一、招标方式</w:t>
      </w:r>
      <w:bookmarkEnd w:id="2"/>
      <w:bookmarkEnd w:id="3"/>
      <w:bookmarkEnd w:id="4"/>
    </w:p>
    <w:p>
      <w:pPr>
        <w:spacing w:line="360" w:lineRule="auto"/>
        <w:ind w:firstLine="640" w:firstLineChars="200"/>
        <w:contextualSpacing/>
        <w:rPr>
          <w:rFonts w:hint="default" w:ascii="仿宋_GB2312" w:hAnsi="仿宋" w:cs="仿宋"/>
          <w:kern w:val="0"/>
          <w:szCs w:val="32"/>
        </w:rPr>
      </w:pPr>
      <w:r>
        <w:rPr>
          <w:rFonts w:hint="eastAsia" w:ascii="仿宋_GB2312" w:hAnsi="仿宋" w:cs="仿宋"/>
          <w:kern w:val="0"/>
          <w:szCs w:val="32"/>
          <w:lang w:val="en-US" w:eastAsia="zh-CN"/>
        </w:rPr>
        <w:t>安徽省中西医结合医院</w:t>
      </w:r>
      <w:r>
        <w:rPr>
          <w:rFonts w:ascii="仿宋_GB2312" w:hAnsi="仿宋" w:cs="仿宋"/>
          <w:kern w:val="0"/>
          <w:szCs w:val="32"/>
        </w:rPr>
        <w:t>网络安全等级保护测评服务项目采取公开招标的方式进行招标。</w:t>
      </w:r>
    </w:p>
    <w:p>
      <w:pPr>
        <w:pStyle w:val="3"/>
        <w:adjustRightInd w:val="0"/>
        <w:spacing w:before="0" w:after="0" w:line="360" w:lineRule="auto"/>
        <w:contextualSpacing/>
        <w:rPr>
          <w:rFonts w:ascii="仿宋_GB2312" w:hAnsi="仿宋" w:eastAsia="仿宋_GB2312" w:cs="仿宋"/>
          <w:b w:val="0"/>
          <w:szCs w:val="32"/>
        </w:rPr>
      </w:pPr>
      <w:bookmarkStart w:id="5" w:name="_Toc5531"/>
      <w:bookmarkStart w:id="6" w:name="_Toc10845"/>
      <w:bookmarkStart w:id="7" w:name="_Toc12520072"/>
      <w:r>
        <w:rPr>
          <w:rFonts w:hint="eastAsia" w:ascii="仿宋_GB2312" w:hAnsi="仿宋" w:eastAsia="仿宋_GB2312" w:cs="仿宋"/>
          <w:b w:val="0"/>
          <w:szCs w:val="32"/>
        </w:rPr>
        <w:t>二、项目概况</w:t>
      </w:r>
      <w:bookmarkEnd w:id="5"/>
      <w:bookmarkEnd w:id="6"/>
      <w:bookmarkEnd w:id="7"/>
    </w:p>
    <w:p>
      <w:pPr>
        <w:pStyle w:val="19"/>
        <w:numPr>
          <w:ilvl w:val="0"/>
          <w:numId w:val="1"/>
        </w:numPr>
        <w:spacing w:line="360" w:lineRule="auto"/>
        <w:ind w:firstLineChars="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项目系统、等级：</w:t>
      </w:r>
      <w:r>
        <w:rPr>
          <w:rFonts w:hint="eastAsia" w:ascii="仿宋_GB2312" w:hAnsi="仿宋" w:eastAsia="仿宋_GB2312" w:cs="仿宋"/>
          <w:kern w:val="0"/>
          <w:sz w:val="32"/>
          <w:szCs w:val="32"/>
          <w:lang w:val="en-US" w:eastAsia="zh-CN"/>
        </w:rPr>
        <w:t>安徽省中西医结合医院</w:t>
      </w:r>
      <w:r>
        <w:rPr>
          <w:rFonts w:hint="eastAsia" w:ascii="仿宋_GB2312" w:hAnsi="仿宋" w:eastAsia="仿宋_GB2312" w:cs="仿宋"/>
          <w:kern w:val="0"/>
          <w:sz w:val="32"/>
          <w:szCs w:val="32"/>
        </w:rPr>
        <w:t>重要信息系统信息安全等级保护测评及安全服务，待测系统范围如下表：</w:t>
      </w:r>
    </w:p>
    <w:tbl>
      <w:tblPr>
        <w:tblStyle w:val="13"/>
        <w:tblW w:w="8060" w:type="dxa"/>
        <w:tblInd w:w="845" w:type="dxa"/>
        <w:tblLayout w:type="autofit"/>
        <w:tblCellMar>
          <w:top w:w="0" w:type="dxa"/>
          <w:left w:w="108" w:type="dxa"/>
          <w:bottom w:w="0" w:type="dxa"/>
          <w:right w:w="108" w:type="dxa"/>
        </w:tblCellMar>
      </w:tblPr>
      <w:tblGrid>
        <w:gridCol w:w="1080"/>
        <w:gridCol w:w="2840"/>
        <w:gridCol w:w="3060"/>
        <w:gridCol w:w="1080"/>
      </w:tblGrid>
      <w:tr>
        <w:tblPrEx>
          <w:tblCellMar>
            <w:top w:w="0" w:type="dxa"/>
            <w:left w:w="108" w:type="dxa"/>
            <w:bottom w:w="0" w:type="dxa"/>
            <w:right w:w="108" w:type="dxa"/>
          </w:tblCellMar>
        </w:tblPrEx>
        <w:trPr>
          <w:trHeight w:val="585" w:hRule="atLeast"/>
        </w:trPr>
        <w:tc>
          <w:tcPr>
            <w:tcW w:w="1080" w:type="dxa"/>
            <w:tcBorders>
              <w:top w:val="single" w:color="auto" w:sz="8" w:space="0"/>
              <w:left w:val="single" w:color="auto" w:sz="8" w:space="0"/>
              <w:bottom w:val="single" w:color="auto" w:sz="8" w:space="0"/>
              <w:right w:val="single" w:color="auto" w:sz="8" w:space="0"/>
            </w:tcBorders>
            <w:shd w:val="clear" w:color="000000" w:fill="F2F2F2"/>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序号</w:t>
            </w:r>
          </w:p>
        </w:tc>
        <w:tc>
          <w:tcPr>
            <w:tcW w:w="2840" w:type="dxa"/>
            <w:tcBorders>
              <w:top w:val="single" w:color="auto" w:sz="8" w:space="0"/>
              <w:left w:val="nil"/>
              <w:bottom w:val="single" w:color="auto" w:sz="8" w:space="0"/>
              <w:right w:val="single" w:color="auto" w:sz="8" w:space="0"/>
            </w:tcBorders>
            <w:shd w:val="clear" w:color="000000" w:fill="F2F2F2"/>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待测系统名称</w:t>
            </w:r>
          </w:p>
        </w:tc>
        <w:tc>
          <w:tcPr>
            <w:tcW w:w="3060" w:type="dxa"/>
            <w:tcBorders>
              <w:top w:val="single" w:color="auto" w:sz="8" w:space="0"/>
              <w:left w:val="nil"/>
              <w:bottom w:val="single" w:color="auto" w:sz="8" w:space="0"/>
              <w:right w:val="single" w:color="auto" w:sz="8" w:space="0"/>
            </w:tcBorders>
            <w:shd w:val="clear" w:color="000000" w:fill="F2F2F2"/>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安全保护等级</w:t>
            </w:r>
          </w:p>
        </w:tc>
        <w:tc>
          <w:tcPr>
            <w:tcW w:w="1080" w:type="dxa"/>
            <w:tcBorders>
              <w:top w:val="single" w:color="auto" w:sz="8" w:space="0"/>
              <w:left w:val="nil"/>
              <w:bottom w:val="single" w:color="auto" w:sz="8" w:space="0"/>
              <w:right w:val="single" w:color="auto" w:sz="8" w:space="0"/>
            </w:tcBorders>
            <w:shd w:val="clear" w:color="000000" w:fill="F2F2F2"/>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备注</w:t>
            </w:r>
          </w:p>
        </w:tc>
      </w:tr>
      <w:tr>
        <w:tblPrEx>
          <w:tblCellMar>
            <w:top w:w="0" w:type="dxa"/>
            <w:left w:w="108" w:type="dxa"/>
            <w:bottom w:w="0" w:type="dxa"/>
            <w:right w:w="108" w:type="dxa"/>
          </w:tblCellMar>
        </w:tblPrEx>
        <w:trPr>
          <w:trHeight w:val="585" w:hRule="atLeast"/>
        </w:trPr>
        <w:tc>
          <w:tcPr>
            <w:tcW w:w="1080" w:type="dxa"/>
            <w:tcBorders>
              <w:top w:val="nil"/>
              <w:left w:val="single" w:color="auto" w:sz="8" w:space="0"/>
              <w:bottom w:val="nil"/>
              <w:right w:val="single" w:color="auto" w:sz="8" w:space="0"/>
            </w:tcBorders>
            <w:shd w:val="clear" w:color="auto" w:fill="auto"/>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1</w:t>
            </w:r>
          </w:p>
        </w:tc>
        <w:tc>
          <w:tcPr>
            <w:tcW w:w="2840" w:type="dxa"/>
            <w:tcBorders>
              <w:top w:val="nil"/>
              <w:left w:val="nil"/>
              <w:bottom w:val="nil"/>
              <w:right w:val="single" w:color="auto" w:sz="8" w:space="0"/>
            </w:tcBorders>
            <w:shd w:val="clear" w:color="auto" w:fill="auto"/>
          </w:tcPr>
          <w:p>
            <w:pPr>
              <w:widowControl/>
              <w:spacing w:line="360" w:lineRule="auto"/>
              <w:contextualSpacing/>
              <w:rPr>
                <w:rFonts w:hint="default" w:ascii="仿宋_GB2312" w:hAnsi="宋体" w:cs="宋体"/>
                <w:color w:val="000000"/>
                <w:kern w:val="0"/>
                <w:szCs w:val="32"/>
              </w:rPr>
            </w:pPr>
            <w:r>
              <w:rPr>
                <w:rFonts w:hint="eastAsia" w:ascii="仿宋_GB2312" w:hAnsi="宋体" w:cs="宋体"/>
                <w:color w:val="000000"/>
                <w:kern w:val="0"/>
                <w:szCs w:val="32"/>
                <w:lang w:val="en-US" w:eastAsia="zh-CN"/>
              </w:rPr>
              <w:t>安徽省中西医结合医院协同及门户网站</w:t>
            </w:r>
            <w:r>
              <w:rPr>
                <w:rFonts w:ascii="仿宋_GB2312" w:hAnsi="宋体" w:cs="宋体"/>
                <w:color w:val="000000"/>
                <w:kern w:val="0"/>
                <w:szCs w:val="32"/>
              </w:rPr>
              <w:t>系统</w:t>
            </w:r>
          </w:p>
        </w:tc>
        <w:tc>
          <w:tcPr>
            <w:tcW w:w="3060" w:type="dxa"/>
            <w:tcBorders>
              <w:top w:val="nil"/>
              <w:left w:val="nil"/>
              <w:bottom w:val="nil"/>
              <w:right w:val="single" w:color="auto" w:sz="8" w:space="0"/>
            </w:tcBorders>
            <w:shd w:val="clear" w:color="auto" w:fill="auto"/>
          </w:tcPr>
          <w:p>
            <w:pPr>
              <w:widowControl/>
              <w:spacing w:line="360" w:lineRule="auto"/>
              <w:contextualSpacing/>
              <w:rPr>
                <w:rFonts w:hint="default" w:ascii="仿宋_GB2312" w:hAnsi="宋体" w:cs="宋体"/>
                <w:color w:val="000000"/>
                <w:kern w:val="0"/>
                <w:szCs w:val="32"/>
              </w:rPr>
            </w:pPr>
            <w:r>
              <w:rPr>
                <w:rFonts w:hint="eastAsia" w:ascii="仿宋_GB2312" w:hAnsi="宋体" w:cs="宋体"/>
                <w:color w:val="000000"/>
                <w:kern w:val="0"/>
                <w:szCs w:val="32"/>
                <w:lang w:val="en-US" w:eastAsia="zh-CN"/>
              </w:rPr>
              <w:t>二</w:t>
            </w:r>
            <w:r>
              <w:rPr>
                <w:rFonts w:ascii="仿宋_GB2312" w:hAnsi="宋体" w:cs="宋体"/>
                <w:color w:val="000000"/>
                <w:kern w:val="0"/>
                <w:szCs w:val="32"/>
              </w:rPr>
              <w:t>级</w:t>
            </w:r>
          </w:p>
        </w:tc>
        <w:tc>
          <w:tcPr>
            <w:tcW w:w="1080" w:type="dxa"/>
            <w:tcBorders>
              <w:top w:val="nil"/>
              <w:left w:val="nil"/>
              <w:bottom w:val="nil"/>
              <w:right w:val="single" w:color="auto" w:sz="8" w:space="0"/>
            </w:tcBorders>
            <w:shd w:val="clear" w:color="auto" w:fill="auto"/>
          </w:tcPr>
          <w:p>
            <w:pPr>
              <w:widowControl/>
              <w:spacing w:line="360" w:lineRule="auto"/>
              <w:contextualSpacing/>
              <w:rPr>
                <w:rFonts w:hint="default" w:ascii="仿宋_GB2312" w:hAnsi="宋体" w:cs="宋体"/>
                <w:color w:val="000000"/>
                <w:kern w:val="0"/>
                <w:szCs w:val="32"/>
              </w:rPr>
            </w:pPr>
            <w:r>
              <w:rPr>
                <w:rFonts w:ascii="仿宋_GB2312" w:hAnsi="宋体" w:cs="宋体"/>
                <w:color w:val="000000"/>
                <w:kern w:val="0"/>
                <w:szCs w:val="32"/>
              </w:rPr>
              <w:t>　</w:t>
            </w:r>
          </w:p>
        </w:tc>
      </w:tr>
      <w:tr>
        <w:tblPrEx>
          <w:tblCellMar>
            <w:top w:w="0" w:type="dxa"/>
            <w:left w:w="108" w:type="dxa"/>
            <w:bottom w:w="0" w:type="dxa"/>
            <w:right w:w="108" w:type="dxa"/>
          </w:tblCellMar>
        </w:tblPrEx>
        <w:trPr>
          <w:trHeight w:val="585" w:hRule="atLeast"/>
        </w:trPr>
        <w:tc>
          <w:tcPr>
            <w:tcW w:w="1080" w:type="dxa"/>
            <w:tcBorders>
              <w:top w:val="nil"/>
              <w:left w:val="single" w:color="auto" w:sz="8" w:space="0"/>
              <w:bottom w:val="nil"/>
              <w:right w:val="single" w:color="auto" w:sz="8" w:space="0"/>
            </w:tcBorders>
            <w:shd w:val="clear" w:color="auto" w:fill="auto"/>
          </w:tcPr>
          <w:p>
            <w:pPr>
              <w:widowControl/>
              <w:spacing w:line="360" w:lineRule="auto"/>
              <w:contextualSpacing/>
              <w:rPr>
                <w:rFonts w:hint="eastAsia" w:ascii="仿宋_GB2312" w:hAnsi="宋体" w:eastAsia="仿宋_GB2312" w:cs="宋体"/>
                <w:color w:val="000000"/>
                <w:kern w:val="0"/>
                <w:szCs w:val="32"/>
                <w:lang w:val="en-US" w:eastAsia="zh-CN"/>
              </w:rPr>
            </w:pPr>
            <w:r>
              <w:rPr>
                <w:rFonts w:hint="eastAsia" w:ascii="仿宋_GB2312" w:hAnsi="宋体" w:cs="宋体"/>
                <w:color w:val="000000"/>
                <w:kern w:val="0"/>
                <w:szCs w:val="32"/>
                <w:lang w:val="en-US" w:eastAsia="zh-CN"/>
              </w:rPr>
              <w:t>2</w:t>
            </w:r>
          </w:p>
        </w:tc>
        <w:tc>
          <w:tcPr>
            <w:tcW w:w="2840" w:type="dxa"/>
            <w:tcBorders>
              <w:top w:val="nil"/>
              <w:left w:val="nil"/>
              <w:bottom w:val="nil"/>
              <w:right w:val="single" w:color="auto" w:sz="8" w:space="0"/>
            </w:tcBorders>
            <w:shd w:val="clear" w:color="auto" w:fill="auto"/>
          </w:tcPr>
          <w:p>
            <w:pPr>
              <w:widowControl/>
              <w:spacing w:line="360" w:lineRule="auto"/>
              <w:contextualSpacing/>
              <w:rPr>
                <w:rFonts w:ascii="仿宋_GB2312" w:hAnsi="宋体" w:cs="宋体"/>
                <w:color w:val="000000"/>
                <w:kern w:val="0"/>
                <w:szCs w:val="32"/>
              </w:rPr>
            </w:pPr>
            <w:r>
              <w:rPr>
                <w:rFonts w:hint="eastAsia" w:ascii="仿宋_GB2312" w:hAnsi="宋体" w:cs="宋体"/>
                <w:color w:val="000000"/>
                <w:kern w:val="0"/>
                <w:szCs w:val="32"/>
                <w:lang w:val="en-US" w:eastAsia="zh-CN"/>
              </w:rPr>
              <w:t>安徽省中西医结合医院财务</w:t>
            </w:r>
            <w:r>
              <w:rPr>
                <w:rFonts w:ascii="仿宋_GB2312" w:hAnsi="宋体" w:cs="宋体"/>
                <w:color w:val="000000"/>
                <w:kern w:val="0"/>
                <w:szCs w:val="32"/>
              </w:rPr>
              <w:t>系统</w:t>
            </w:r>
          </w:p>
        </w:tc>
        <w:tc>
          <w:tcPr>
            <w:tcW w:w="3060" w:type="dxa"/>
            <w:tcBorders>
              <w:top w:val="nil"/>
              <w:left w:val="nil"/>
              <w:bottom w:val="nil"/>
              <w:right w:val="single" w:color="auto" w:sz="8" w:space="0"/>
            </w:tcBorders>
            <w:shd w:val="clear" w:color="auto" w:fill="auto"/>
          </w:tcPr>
          <w:p>
            <w:pPr>
              <w:widowControl/>
              <w:spacing w:line="360" w:lineRule="auto"/>
              <w:contextualSpacing/>
              <w:rPr>
                <w:rFonts w:ascii="仿宋_GB2312" w:hAnsi="宋体" w:cs="宋体"/>
                <w:color w:val="000000"/>
                <w:kern w:val="0"/>
                <w:szCs w:val="32"/>
              </w:rPr>
            </w:pPr>
            <w:r>
              <w:rPr>
                <w:rFonts w:hint="eastAsia" w:ascii="仿宋_GB2312" w:hAnsi="宋体" w:cs="宋体"/>
                <w:color w:val="000000"/>
                <w:kern w:val="0"/>
                <w:szCs w:val="32"/>
                <w:lang w:val="en-US" w:eastAsia="zh-CN"/>
              </w:rPr>
              <w:t>二</w:t>
            </w:r>
            <w:r>
              <w:rPr>
                <w:rFonts w:ascii="仿宋_GB2312" w:hAnsi="宋体" w:cs="宋体"/>
                <w:color w:val="000000"/>
                <w:kern w:val="0"/>
                <w:szCs w:val="32"/>
              </w:rPr>
              <w:t>级</w:t>
            </w:r>
          </w:p>
        </w:tc>
        <w:tc>
          <w:tcPr>
            <w:tcW w:w="1080" w:type="dxa"/>
            <w:tcBorders>
              <w:top w:val="nil"/>
              <w:left w:val="nil"/>
              <w:bottom w:val="nil"/>
              <w:right w:val="single" w:color="auto" w:sz="8" w:space="0"/>
            </w:tcBorders>
            <w:shd w:val="clear" w:color="auto" w:fill="auto"/>
          </w:tcPr>
          <w:p>
            <w:pPr>
              <w:widowControl/>
              <w:spacing w:line="360" w:lineRule="auto"/>
              <w:contextualSpacing/>
              <w:rPr>
                <w:rFonts w:ascii="仿宋_GB2312" w:hAnsi="宋体" w:cs="宋体"/>
                <w:color w:val="000000"/>
                <w:kern w:val="0"/>
                <w:szCs w:val="32"/>
              </w:rPr>
            </w:pPr>
          </w:p>
        </w:tc>
      </w:tr>
    </w:tbl>
    <w:p>
      <w:pPr>
        <w:pStyle w:val="19"/>
        <w:numPr>
          <w:ilvl w:val="0"/>
          <w:numId w:val="1"/>
        </w:numPr>
        <w:spacing w:line="360" w:lineRule="auto"/>
        <w:ind w:firstLineChars="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项目内容：</w:t>
      </w:r>
      <w:r>
        <w:rPr>
          <w:rFonts w:hint="eastAsia" w:ascii="仿宋_GB2312" w:hAnsi="仿宋" w:eastAsia="仿宋_GB2312" w:cs="仿宋"/>
          <w:kern w:val="0"/>
          <w:sz w:val="32"/>
          <w:szCs w:val="32"/>
          <w:lang w:val="en-US" w:eastAsia="zh-CN"/>
        </w:rPr>
        <w:t>安徽省中西医结合医院</w:t>
      </w:r>
      <w:r>
        <w:rPr>
          <w:rFonts w:hint="eastAsia" w:ascii="仿宋_GB2312" w:hAnsi="仿宋" w:eastAsia="仿宋_GB2312" w:cs="仿宋"/>
          <w:kern w:val="0"/>
          <w:sz w:val="32"/>
          <w:szCs w:val="32"/>
        </w:rPr>
        <w:t>信息系统信息安全等级保护测评及安全服务。</w:t>
      </w:r>
    </w:p>
    <w:p>
      <w:pPr>
        <w:pStyle w:val="19"/>
        <w:numPr>
          <w:ilvl w:val="0"/>
          <w:numId w:val="1"/>
        </w:numPr>
        <w:spacing w:line="360" w:lineRule="auto"/>
        <w:ind w:firstLineChars="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报价说明：包含测评指导、提供</w:t>
      </w:r>
      <w:r>
        <w:rPr>
          <w:rFonts w:hint="eastAsia" w:ascii="仿宋_GB2312" w:hAnsi="仿宋" w:eastAsia="仿宋_GB2312" w:cs="仿宋"/>
          <w:kern w:val="0"/>
          <w:sz w:val="32"/>
          <w:szCs w:val="32"/>
          <w:lang w:val="en-US" w:eastAsia="zh-CN"/>
        </w:rPr>
        <w:t>安徽省中西医结合医院</w:t>
      </w:r>
      <w:r>
        <w:rPr>
          <w:rFonts w:hint="eastAsia" w:ascii="仿宋_GB2312" w:hAnsi="仿宋" w:eastAsia="仿宋_GB2312" w:cs="仿宋"/>
          <w:kern w:val="0"/>
          <w:sz w:val="32"/>
          <w:szCs w:val="32"/>
        </w:rPr>
        <w:t>信息安全等级保护第二级等保测评，出具测评分析和整改建议，出具符合安徽省公安厅要求的正式测评报告。</w:t>
      </w:r>
    </w:p>
    <w:p>
      <w:pPr>
        <w:pStyle w:val="19"/>
        <w:numPr>
          <w:ilvl w:val="0"/>
          <w:numId w:val="1"/>
        </w:numPr>
        <w:spacing w:line="360" w:lineRule="auto"/>
        <w:ind w:firstLineChars="0"/>
        <w:contextualSpacing/>
        <w:rPr>
          <w:rFonts w:ascii="仿宋_GB2312" w:hAnsi="仿宋" w:eastAsia="仿宋_GB2312" w:cs="仿宋"/>
          <w:kern w:val="0"/>
          <w:sz w:val="32"/>
          <w:szCs w:val="32"/>
        </w:rPr>
      </w:pPr>
      <w:r>
        <w:rPr>
          <w:rFonts w:hint="eastAsia" w:ascii="仿宋_GB2312" w:hAnsi="仿宋" w:eastAsia="仿宋_GB2312" w:cs="仿宋"/>
          <w:kern w:val="0"/>
          <w:sz w:val="32"/>
          <w:szCs w:val="32"/>
        </w:rPr>
        <w:t>其他相关要求</w:t>
      </w:r>
    </w:p>
    <w:p>
      <w:pPr>
        <w:spacing w:line="360" w:lineRule="auto"/>
        <w:ind w:firstLine="640" w:firstLineChars="200"/>
        <w:contextualSpacing/>
        <w:rPr>
          <w:rFonts w:hint="default" w:ascii="仿宋_GB2312"/>
          <w:szCs w:val="32"/>
        </w:rPr>
      </w:pPr>
      <w:r>
        <w:rPr>
          <w:rFonts w:ascii="仿宋_GB2312"/>
          <w:szCs w:val="32"/>
        </w:rPr>
        <w:t>工期要求：</w:t>
      </w:r>
      <w:r>
        <w:rPr>
          <w:rFonts w:hint="default" w:ascii="仿宋_GB2312"/>
          <w:szCs w:val="32"/>
        </w:rPr>
        <w:t>90</w:t>
      </w:r>
      <w:r>
        <w:rPr>
          <w:rFonts w:ascii="仿宋_GB2312"/>
          <w:szCs w:val="32"/>
        </w:rPr>
        <w:t>日历天；</w:t>
      </w:r>
    </w:p>
    <w:p>
      <w:pPr>
        <w:spacing w:line="360" w:lineRule="auto"/>
        <w:ind w:firstLine="640" w:firstLineChars="200"/>
        <w:contextualSpacing/>
        <w:rPr>
          <w:rFonts w:hint="default" w:ascii="仿宋_GB2312"/>
          <w:szCs w:val="32"/>
        </w:rPr>
      </w:pPr>
      <w:r>
        <w:rPr>
          <w:rFonts w:ascii="仿宋_GB2312"/>
          <w:szCs w:val="32"/>
        </w:rPr>
        <w:t>质量要求：符合安徽省公安厅要求的正式测评报告。</w:t>
      </w:r>
    </w:p>
    <w:p>
      <w:pPr>
        <w:spacing w:line="360" w:lineRule="auto"/>
        <w:ind w:firstLine="640" w:firstLineChars="200"/>
        <w:contextualSpacing/>
        <w:rPr>
          <w:rFonts w:hint="default" w:ascii="仿宋_GB2312"/>
          <w:szCs w:val="32"/>
        </w:rPr>
      </w:pPr>
      <w:r>
        <w:rPr>
          <w:rFonts w:ascii="仿宋_GB2312"/>
          <w:szCs w:val="32"/>
        </w:rPr>
        <w:t>项目</w:t>
      </w:r>
      <w:r>
        <w:rPr>
          <w:rFonts w:hint="default" w:ascii="仿宋_GB2312"/>
          <w:szCs w:val="32"/>
        </w:rPr>
        <w:t>预算：</w:t>
      </w:r>
      <w:r>
        <w:rPr>
          <w:rFonts w:hint="eastAsia" w:ascii="仿宋_GB2312"/>
          <w:szCs w:val="32"/>
          <w:lang w:val="en-US" w:eastAsia="zh-CN"/>
        </w:rPr>
        <w:t>10</w:t>
      </w:r>
      <w:r>
        <w:rPr>
          <w:rFonts w:ascii="仿宋_GB2312"/>
          <w:szCs w:val="32"/>
        </w:rPr>
        <w:t>万元</w:t>
      </w:r>
    </w:p>
    <w:p>
      <w:pPr>
        <w:pStyle w:val="3"/>
        <w:spacing w:before="0" w:after="0" w:line="360" w:lineRule="auto"/>
        <w:ind w:firstLine="160" w:firstLineChars="50"/>
        <w:contextualSpacing/>
        <w:rPr>
          <w:rFonts w:ascii="仿宋_GB2312" w:hAnsi="仿宋" w:eastAsia="仿宋_GB2312" w:cs="仿宋"/>
          <w:b w:val="0"/>
          <w:szCs w:val="32"/>
        </w:rPr>
      </w:pPr>
      <w:bookmarkStart w:id="8" w:name="_Toc12520073"/>
      <w:bookmarkStart w:id="9" w:name="_Toc11543"/>
      <w:bookmarkStart w:id="10" w:name="_Toc639"/>
      <w:r>
        <w:rPr>
          <w:rFonts w:hint="eastAsia" w:ascii="仿宋_GB2312" w:hAnsi="仿宋" w:eastAsia="仿宋_GB2312" w:cs="仿宋"/>
          <w:b w:val="0"/>
          <w:szCs w:val="32"/>
        </w:rPr>
        <w:t>三、投标人资格要求</w:t>
      </w:r>
      <w:bookmarkEnd w:id="8"/>
      <w:bookmarkEnd w:id="9"/>
      <w:bookmarkEnd w:id="10"/>
    </w:p>
    <w:p>
      <w:pPr>
        <w:spacing w:line="360" w:lineRule="auto"/>
        <w:ind w:firstLine="640" w:firstLineChars="200"/>
        <w:contextualSpacing/>
        <w:rPr>
          <w:rFonts w:hint="default" w:ascii="仿宋_GB2312"/>
          <w:szCs w:val="32"/>
        </w:rPr>
      </w:pPr>
      <w:r>
        <w:rPr>
          <w:rFonts w:ascii="仿宋_GB2312"/>
          <w:szCs w:val="32"/>
        </w:rPr>
        <w:t>1、投标人应符合《中华人民共和国政府采购法》第二十二条规定；</w:t>
      </w:r>
    </w:p>
    <w:p>
      <w:pPr>
        <w:spacing w:line="360" w:lineRule="auto"/>
        <w:ind w:firstLine="640" w:firstLineChars="200"/>
        <w:contextualSpacing/>
        <w:rPr>
          <w:rFonts w:hint="default" w:ascii="仿宋_GB2312"/>
          <w:szCs w:val="32"/>
        </w:rPr>
      </w:pPr>
      <w:r>
        <w:rPr>
          <w:rFonts w:hint="default" w:ascii="仿宋_GB2312"/>
          <w:szCs w:val="32"/>
        </w:rPr>
        <w:t>2</w:t>
      </w:r>
      <w:r>
        <w:rPr>
          <w:rFonts w:ascii="仿宋_GB2312"/>
          <w:szCs w:val="32"/>
        </w:rPr>
        <w:t>、投标人需具备国家网络安全等级保护工作协调小组办公室颁发的网络安全等级保护测评机构推荐证书；</w:t>
      </w:r>
    </w:p>
    <w:p>
      <w:pPr>
        <w:spacing w:line="360" w:lineRule="auto"/>
        <w:ind w:firstLine="640" w:firstLineChars="200"/>
        <w:contextualSpacing/>
        <w:rPr>
          <w:rFonts w:hint="eastAsia" w:ascii="仿宋_GB2312"/>
          <w:szCs w:val="32"/>
          <w:lang w:eastAsia="zh-CN"/>
        </w:rPr>
      </w:pPr>
      <w:r>
        <w:rPr>
          <w:rFonts w:ascii="仿宋_GB2312"/>
          <w:szCs w:val="32"/>
        </w:rPr>
        <w:t>注：提供测评推荐证书复印件/扫描件及入围中国网络安全等级保护网（www.djbh.net）全国等级保护测评机构推荐目录截图（截图需完整显示投标人名称）</w:t>
      </w:r>
      <w:r>
        <w:rPr>
          <w:rFonts w:hint="eastAsia" w:ascii="仿宋_GB2312"/>
          <w:szCs w:val="32"/>
          <w:lang w:eastAsia="zh-CN"/>
        </w:rPr>
        <w:t>。</w:t>
      </w:r>
    </w:p>
    <w:p>
      <w:pPr>
        <w:spacing w:line="360" w:lineRule="auto"/>
        <w:ind w:firstLine="640" w:firstLineChars="200"/>
        <w:contextualSpacing/>
        <w:rPr>
          <w:rFonts w:hint="default" w:ascii="仿宋_GB2312"/>
          <w:szCs w:val="32"/>
        </w:rPr>
      </w:pPr>
      <w:r>
        <w:rPr>
          <w:rFonts w:ascii="仿宋_GB2312"/>
          <w:szCs w:val="32"/>
        </w:rPr>
        <w:t>3、本项目不接受联合体投标。</w:t>
      </w:r>
    </w:p>
    <w:p>
      <w:pPr>
        <w:pStyle w:val="3"/>
        <w:spacing w:before="0" w:after="0" w:line="360" w:lineRule="auto"/>
        <w:ind w:firstLine="160" w:firstLineChars="50"/>
        <w:contextualSpacing/>
        <w:rPr>
          <w:rFonts w:ascii="仿宋_GB2312" w:hAnsi="仿宋" w:eastAsia="仿宋_GB2312" w:cs="仿宋"/>
          <w:b w:val="0"/>
          <w:szCs w:val="32"/>
        </w:rPr>
      </w:pPr>
      <w:bookmarkStart w:id="11" w:name="_Toc12520074"/>
      <w:bookmarkStart w:id="12" w:name="_Toc28151"/>
      <w:bookmarkStart w:id="13" w:name="_Toc23162"/>
      <w:r>
        <w:rPr>
          <w:rFonts w:hint="eastAsia" w:ascii="仿宋_GB2312" w:hAnsi="仿宋" w:eastAsia="仿宋_GB2312" w:cs="仿宋"/>
          <w:b w:val="0"/>
          <w:szCs w:val="32"/>
        </w:rPr>
        <w:t>四、招标文件的获取</w:t>
      </w:r>
      <w:bookmarkEnd w:id="11"/>
      <w:bookmarkEnd w:id="12"/>
      <w:bookmarkEnd w:id="13"/>
    </w:p>
    <w:p>
      <w:pPr>
        <w:spacing w:line="360" w:lineRule="auto"/>
        <w:ind w:right="-437" w:firstLine="640" w:firstLineChars="200"/>
        <w:contextualSpacing/>
        <w:rPr>
          <w:rFonts w:hint="default" w:ascii="仿宋_GB2312" w:hAnsi="仿宋" w:cs="仿宋"/>
          <w:kern w:val="0"/>
          <w:szCs w:val="32"/>
        </w:rPr>
      </w:pPr>
      <w:r>
        <w:rPr>
          <w:rFonts w:ascii="仿宋_GB2312" w:hAnsi="仿宋" w:cs="仿宋"/>
          <w:kern w:val="0"/>
          <w:szCs w:val="32"/>
        </w:rPr>
        <w:t>发放时间：20</w:t>
      </w:r>
      <w:r>
        <w:rPr>
          <w:rFonts w:hint="eastAsia" w:ascii="仿宋_GB2312" w:hAnsi="仿宋" w:cs="仿宋"/>
          <w:kern w:val="0"/>
          <w:szCs w:val="32"/>
          <w:lang w:val="en-US" w:eastAsia="zh-CN"/>
        </w:rPr>
        <w:t>20</w:t>
      </w:r>
      <w:r>
        <w:rPr>
          <w:rFonts w:ascii="仿宋_GB2312" w:hAnsi="仿宋" w:cs="仿宋"/>
          <w:kern w:val="0"/>
          <w:szCs w:val="32"/>
        </w:rPr>
        <w:t>年</w:t>
      </w:r>
      <w:r>
        <w:rPr>
          <w:rFonts w:hint="eastAsia" w:ascii="仿宋_GB2312" w:hAnsi="仿宋" w:cs="仿宋"/>
          <w:kern w:val="0"/>
          <w:szCs w:val="32"/>
          <w:lang w:val="en-US" w:eastAsia="zh-CN"/>
        </w:rPr>
        <w:t>8</w:t>
      </w:r>
      <w:r>
        <w:rPr>
          <w:rFonts w:ascii="仿宋_GB2312" w:hAnsi="仿宋" w:cs="仿宋"/>
          <w:kern w:val="0"/>
          <w:szCs w:val="32"/>
        </w:rPr>
        <w:t>月</w:t>
      </w:r>
      <w:r>
        <w:rPr>
          <w:rFonts w:hint="eastAsia" w:ascii="仿宋_GB2312" w:hAnsi="仿宋" w:cs="仿宋"/>
          <w:kern w:val="0"/>
          <w:szCs w:val="32"/>
          <w:lang w:val="en-US" w:eastAsia="zh-CN"/>
        </w:rPr>
        <w:t>11</w:t>
      </w:r>
      <w:r>
        <w:rPr>
          <w:rFonts w:ascii="仿宋_GB2312" w:hAnsi="仿宋" w:cs="仿宋"/>
          <w:kern w:val="0"/>
          <w:szCs w:val="32"/>
        </w:rPr>
        <w:t>日8:00-</w:t>
      </w:r>
      <w:r>
        <w:rPr>
          <w:rFonts w:hint="eastAsia" w:ascii="仿宋_GB2312" w:hAnsi="仿宋" w:cs="仿宋"/>
          <w:kern w:val="0"/>
          <w:szCs w:val="32"/>
          <w:lang w:val="en-US" w:eastAsia="zh-CN"/>
        </w:rPr>
        <w:t>2020年8月14 12</w:t>
      </w:r>
      <w:r>
        <w:rPr>
          <w:rFonts w:ascii="仿宋_GB2312" w:hAnsi="仿宋" w:cs="仿宋"/>
          <w:kern w:val="0"/>
          <w:szCs w:val="32"/>
        </w:rPr>
        <w:t>:00</w:t>
      </w:r>
    </w:p>
    <w:p>
      <w:pPr>
        <w:spacing w:line="360" w:lineRule="auto"/>
        <w:ind w:right="-437" w:firstLine="640" w:firstLineChars="200"/>
        <w:contextualSpacing/>
        <w:rPr>
          <w:rFonts w:hint="default" w:ascii="仿宋_GB2312" w:hAnsi="仿宋" w:eastAsia="仿宋_GB2312" w:cs="仿宋"/>
          <w:kern w:val="0"/>
          <w:szCs w:val="32"/>
          <w:lang w:val="en-US" w:eastAsia="zh-CN"/>
        </w:rPr>
      </w:pPr>
      <w:r>
        <w:rPr>
          <w:rFonts w:ascii="仿宋_GB2312" w:hAnsi="仿宋" w:cs="仿宋"/>
          <w:kern w:val="0"/>
          <w:szCs w:val="32"/>
        </w:rPr>
        <w:t>发放地点：</w:t>
      </w:r>
      <w:r>
        <w:rPr>
          <w:rFonts w:hint="eastAsia" w:ascii="仿宋_GB2312" w:hAnsi="仿宋" w:cs="仿宋"/>
          <w:kern w:val="0"/>
          <w:szCs w:val="32"/>
          <w:lang w:val="en-US" w:eastAsia="zh-CN"/>
        </w:rPr>
        <w:t>安徽省中西医结合医院</w:t>
      </w:r>
    </w:p>
    <w:p>
      <w:pPr>
        <w:pStyle w:val="3"/>
        <w:spacing w:before="0" w:after="0" w:line="360" w:lineRule="auto"/>
        <w:ind w:firstLine="160" w:firstLineChars="50"/>
        <w:contextualSpacing/>
        <w:rPr>
          <w:rFonts w:ascii="仿宋_GB2312" w:hAnsi="仿宋" w:eastAsia="仿宋_GB2312" w:cs="仿宋"/>
          <w:b w:val="0"/>
          <w:szCs w:val="32"/>
        </w:rPr>
      </w:pPr>
      <w:bookmarkStart w:id="14" w:name="_Toc12520075"/>
      <w:bookmarkStart w:id="15" w:name="_Toc32461"/>
      <w:bookmarkStart w:id="16" w:name="_Toc32215"/>
      <w:r>
        <w:rPr>
          <w:rFonts w:hint="eastAsia" w:ascii="仿宋_GB2312" w:hAnsi="仿宋" w:eastAsia="仿宋_GB2312" w:cs="仿宋"/>
          <w:b w:val="0"/>
          <w:szCs w:val="32"/>
        </w:rPr>
        <w:t>五、招标联系人信息</w:t>
      </w:r>
      <w:bookmarkEnd w:id="14"/>
      <w:bookmarkEnd w:id="15"/>
      <w:bookmarkEnd w:id="16"/>
    </w:p>
    <w:p>
      <w:pPr>
        <w:spacing w:line="360" w:lineRule="auto"/>
        <w:ind w:right="-437" w:firstLine="640" w:firstLineChars="200"/>
        <w:contextualSpacing/>
        <w:rPr>
          <w:rFonts w:hint="default" w:ascii="仿宋_GB2312" w:hAnsi="仿宋"/>
          <w:szCs w:val="32"/>
        </w:rPr>
      </w:pPr>
      <w:r>
        <w:rPr>
          <w:rFonts w:ascii="仿宋_GB2312" w:hAnsi="仿宋"/>
          <w:szCs w:val="32"/>
        </w:rPr>
        <w:t>招标联系人：</w:t>
      </w:r>
      <w:r>
        <w:rPr>
          <w:rFonts w:hint="eastAsia" w:ascii="仿宋_GB2312" w:hAnsi="仿宋"/>
          <w:szCs w:val="32"/>
          <w:lang w:val="en-US" w:eastAsia="zh-CN"/>
        </w:rPr>
        <w:t>崔老师</w:t>
      </w:r>
      <w:r>
        <w:rPr>
          <w:rFonts w:ascii="仿宋_GB2312" w:hAnsi="仿宋"/>
          <w:szCs w:val="32"/>
        </w:rPr>
        <w:t xml:space="preserve">     联系电话：</w:t>
      </w:r>
      <w:r>
        <w:rPr>
          <w:rFonts w:hint="eastAsia" w:ascii="仿宋_GB2312" w:hAnsi="仿宋"/>
          <w:szCs w:val="32"/>
          <w:lang w:val="en-US" w:eastAsia="zh-CN"/>
        </w:rPr>
        <w:t>0551-62736693</w:t>
      </w:r>
      <w:r>
        <w:rPr>
          <w:rFonts w:ascii="仿宋_GB2312" w:hAnsi="仿宋"/>
          <w:szCs w:val="32"/>
        </w:rPr>
        <w:t xml:space="preserve"> </w:t>
      </w:r>
    </w:p>
    <w:p>
      <w:pPr>
        <w:spacing w:line="360" w:lineRule="auto"/>
        <w:ind w:right="-437" w:firstLine="640" w:firstLineChars="200"/>
        <w:contextualSpacing/>
        <w:rPr>
          <w:rFonts w:hint="default" w:ascii="仿宋_GB2312" w:hAnsi="仿宋" w:eastAsia="仿宋_GB2312"/>
          <w:szCs w:val="32"/>
          <w:lang w:val="en-US" w:eastAsia="zh-CN"/>
        </w:rPr>
      </w:pPr>
      <w:r>
        <w:rPr>
          <w:rFonts w:ascii="仿宋_GB2312" w:hAnsi="仿宋"/>
          <w:szCs w:val="32"/>
        </w:rPr>
        <w:t>招标联系人地址：</w:t>
      </w:r>
      <w:r>
        <w:rPr>
          <w:rFonts w:hint="eastAsia" w:ascii="仿宋_GB2312" w:hAnsi="仿宋" w:cs="仿宋"/>
          <w:kern w:val="0"/>
          <w:szCs w:val="32"/>
          <w:lang w:val="en-US" w:eastAsia="zh-CN"/>
        </w:rPr>
        <w:t>安徽省中西医结合医院</w:t>
      </w:r>
    </w:p>
    <w:p>
      <w:pPr>
        <w:pStyle w:val="3"/>
        <w:spacing w:before="0" w:after="0" w:line="360" w:lineRule="auto"/>
        <w:contextualSpacing/>
        <w:rPr>
          <w:rFonts w:ascii="仿宋_GB2312" w:hAnsi="仿宋" w:eastAsia="仿宋_GB2312" w:cs="仿宋"/>
          <w:b w:val="0"/>
          <w:szCs w:val="32"/>
        </w:rPr>
      </w:pPr>
      <w:bookmarkStart w:id="17" w:name="_Toc12520076"/>
      <w:bookmarkStart w:id="18" w:name="_Toc25810"/>
      <w:bookmarkStart w:id="19" w:name="_Toc23884"/>
      <w:r>
        <w:rPr>
          <w:rFonts w:hint="eastAsia" w:ascii="仿宋_GB2312" w:hAnsi="仿宋" w:eastAsia="仿宋_GB2312" w:cs="仿宋"/>
          <w:b w:val="0"/>
          <w:szCs w:val="32"/>
        </w:rPr>
        <w:t>六、招标须知</w:t>
      </w:r>
      <w:bookmarkEnd w:id="17"/>
      <w:bookmarkEnd w:id="18"/>
      <w:bookmarkEnd w:id="19"/>
    </w:p>
    <w:tbl>
      <w:tblPr>
        <w:tblStyle w:val="13"/>
        <w:tblW w:w="8747" w:type="dxa"/>
        <w:jc w:val="center"/>
        <w:tblLayout w:type="fixed"/>
        <w:tblCellMar>
          <w:top w:w="0" w:type="dxa"/>
          <w:left w:w="108" w:type="dxa"/>
          <w:bottom w:w="0" w:type="dxa"/>
          <w:right w:w="108" w:type="dxa"/>
        </w:tblCellMar>
      </w:tblPr>
      <w:tblGrid>
        <w:gridCol w:w="667"/>
        <w:gridCol w:w="1985"/>
        <w:gridCol w:w="6095"/>
      </w:tblGrid>
      <w:tr>
        <w:tblPrEx>
          <w:tblCellMar>
            <w:top w:w="0" w:type="dxa"/>
            <w:left w:w="108" w:type="dxa"/>
            <w:bottom w:w="0" w:type="dxa"/>
            <w:right w:w="108" w:type="dxa"/>
          </w:tblCellMar>
        </w:tblPrEx>
        <w:trPr>
          <w:trHeight w:val="377"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款号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条款名称</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编列内容</w:t>
            </w:r>
          </w:p>
        </w:tc>
      </w:tr>
      <w:tr>
        <w:tblPrEx>
          <w:tblCellMar>
            <w:top w:w="0" w:type="dxa"/>
            <w:left w:w="108" w:type="dxa"/>
            <w:bottom w:w="0" w:type="dxa"/>
            <w:right w:w="108" w:type="dxa"/>
          </w:tblCellMar>
        </w:tblPrEx>
        <w:trPr>
          <w:trHeight w:val="562"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招标人</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lang w:val="en-US"/>
              </w:rPr>
            </w:pPr>
            <w:r>
              <w:rPr>
                <w:rFonts w:hint="eastAsia" w:ascii="仿宋_GB2312" w:hAnsi="仿宋" w:cs="仿宋"/>
                <w:kern w:val="0"/>
                <w:szCs w:val="32"/>
                <w:lang w:val="en-US" w:eastAsia="zh-CN"/>
              </w:rPr>
              <w:t>安徽省中西医结合医院</w:t>
            </w:r>
          </w:p>
        </w:tc>
      </w:tr>
      <w:tr>
        <w:tblPrEx>
          <w:tblCellMar>
            <w:top w:w="0" w:type="dxa"/>
            <w:left w:w="108" w:type="dxa"/>
            <w:bottom w:w="0" w:type="dxa"/>
            <w:right w:w="108" w:type="dxa"/>
          </w:tblCellMar>
        </w:tblPrEx>
        <w:trPr>
          <w:trHeight w:val="836"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2</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hint="eastAsia" w:ascii="仿宋_GB2312" w:hAnsi="仿宋" w:cs="仿宋"/>
                <w:kern w:val="0"/>
                <w:szCs w:val="32"/>
                <w:lang w:val="en-US" w:eastAsia="zh-CN"/>
              </w:rPr>
              <w:t>安徽省中西医结合医院</w:t>
            </w:r>
            <w:r>
              <w:rPr>
                <w:rFonts w:ascii="仿宋_GB2312" w:hAnsi="仿宋" w:cs="仿宋"/>
                <w:kern w:val="0"/>
                <w:szCs w:val="32"/>
              </w:rPr>
              <w:t>网络安全等级保护测评服务项目</w:t>
            </w:r>
          </w:p>
        </w:tc>
      </w:tr>
      <w:tr>
        <w:tblPrEx>
          <w:tblCellMar>
            <w:top w:w="0" w:type="dxa"/>
            <w:left w:w="108" w:type="dxa"/>
            <w:bottom w:w="0" w:type="dxa"/>
            <w:right w:w="108" w:type="dxa"/>
          </w:tblCellMar>
        </w:tblPrEx>
        <w:trPr>
          <w:trHeight w:val="84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3</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招标内容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default" w:ascii="仿宋_GB2312"/>
                <w:szCs w:val="32"/>
                <w:highlight w:val="yellow"/>
              </w:rPr>
            </w:pPr>
            <w:r>
              <w:rPr>
                <w:rFonts w:ascii="仿宋_GB2312"/>
                <w:szCs w:val="32"/>
                <w:highlight w:val="yellow"/>
              </w:rPr>
              <w:t>工作一：定级备案</w:t>
            </w:r>
          </w:p>
          <w:p>
            <w:pPr>
              <w:spacing w:line="360" w:lineRule="auto"/>
              <w:contextualSpacing/>
              <w:rPr>
                <w:rFonts w:hint="default" w:ascii="仿宋_GB2312"/>
                <w:szCs w:val="32"/>
              </w:rPr>
            </w:pPr>
            <w:r>
              <w:rPr>
                <w:rFonts w:ascii="仿宋_GB2312"/>
                <w:szCs w:val="32"/>
              </w:rPr>
              <w:t>协助采购方各重要信息系统在网安部门完成定级备案工作，交付定级报告、专家评审意见表和备案表等内容，并取得相应系统的备案证明。</w:t>
            </w:r>
          </w:p>
          <w:p>
            <w:pPr>
              <w:spacing w:line="360" w:lineRule="auto"/>
              <w:contextualSpacing/>
              <w:rPr>
                <w:rFonts w:hint="default" w:ascii="仿宋_GB2312"/>
                <w:szCs w:val="32"/>
                <w:highlight w:val="yellow"/>
              </w:rPr>
            </w:pPr>
            <w:r>
              <w:rPr>
                <w:rFonts w:ascii="仿宋_GB2312"/>
                <w:szCs w:val="32"/>
                <w:highlight w:val="yellow"/>
              </w:rPr>
              <w:t>工作二：等级保护测评</w:t>
            </w:r>
          </w:p>
          <w:p>
            <w:pPr>
              <w:spacing w:line="360" w:lineRule="auto"/>
              <w:contextualSpacing/>
              <w:rPr>
                <w:rFonts w:hint="default" w:ascii="仿宋_GB2312"/>
                <w:szCs w:val="32"/>
              </w:rPr>
            </w:pPr>
            <w:r>
              <w:rPr>
                <w:rFonts w:ascii="仿宋_GB2312"/>
                <w:szCs w:val="32"/>
              </w:rPr>
              <w:t>工作范围：</w:t>
            </w:r>
            <w:r>
              <w:rPr>
                <w:rFonts w:hint="eastAsia" w:ascii="仿宋_GB2312" w:hAnsi="仿宋" w:cs="仿宋"/>
                <w:kern w:val="0"/>
                <w:szCs w:val="32"/>
                <w:lang w:val="en-US" w:eastAsia="zh-CN"/>
              </w:rPr>
              <w:t>安徽省中西医结合医院</w:t>
            </w:r>
            <w:r>
              <w:rPr>
                <w:rFonts w:hint="default" w:ascii="仿宋_GB2312"/>
                <w:szCs w:val="32"/>
              </w:rPr>
              <w:t>重要信息系统</w:t>
            </w:r>
            <w:r>
              <w:rPr>
                <w:rFonts w:ascii="仿宋_GB2312"/>
                <w:szCs w:val="32"/>
              </w:rPr>
              <w:t>(</w:t>
            </w:r>
            <w:r>
              <w:rPr>
                <w:rFonts w:hint="eastAsia" w:ascii="仿宋_GB2312"/>
                <w:szCs w:val="32"/>
                <w:lang w:val="en-US" w:eastAsia="zh-CN"/>
              </w:rPr>
              <w:t>二</w:t>
            </w:r>
            <w:r>
              <w:rPr>
                <w:rFonts w:ascii="仿宋_GB2312"/>
                <w:szCs w:val="32"/>
              </w:rPr>
              <w:t>级)。</w:t>
            </w:r>
          </w:p>
          <w:p>
            <w:pPr>
              <w:spacing w:line="360" w:lineRule="auto"/>
              <w:contextualSpacing/>
              <w:rPr>
                <w:rFonts w:hint="default" w:ascii="仿宋_GB2312"/>
                <w:szCs w:val="32"/>
              </w:rPr>
            </w:pPr>
            <w:r>
              <w:rPr>
                <w:rFonts w:ascii="仿宋_GB2312"/>
                <w:szCs w:val="32"/>
              </w:rPr>
              <w:t>工作内容：依据国家等级保护相关标准《GB/T 22239-2008 信息系统安全等级保护基本要求》、《G</w:t>
            </w:r>
            <w:bookmarkStart w:id="100" w:name="_GoBack"/>
            <w:bookmarkEnd w:id="100"/>
            <w:r>
              <w:rPr>
                <w:rFonts w:ascii="仿宋_GB2312"/>
                <w:szCs w:val="32"/>
              </w:rPr>
              <w:t>B/T 28448-2008 信息系统安全等级保护测评要求》、《GB/T 22239-2019 网络安全等级保护基本要求》、《GB/T 28448-2019 网络安全等级保护测评要求》，以《GB/T22240 信息系统安全等级保护定级指南》、《GB/T 28449-2018 信息安全技术网络安全等级保护测评过程指南》为基础，内容包括：</w:t>
            </w:r>
          </w:p>
          <w:p>
            <w:pPr>
              <w:spacing w:line="360" w:lineRule="auto"/>
              <w:contextualSpacing/>
              <w:rPr>
                <w:rFonts w:hint="default" w:ascii="仿宋_GB2312"/>
                <w:szCs w:val="32"/>
              </w:rPr>
            </w:pPr>
            <w:r>
              <w:rPr>
                <w:rFonts w:ascii="仿宋_GB2312"/>
                <w:szCs w:val="32"/>
              </w:rPr>
              <w:t>1)</w:t>
            </w:r>
            <w:r>
              <w:rPr>
                <w:rFonts w:ascii="仿宋_GB2312"/>
                <w:szCs w:val="32"/>
              </w:rPr>
              <w:tab/>
            </w:r>
            <w:r>
              <w:rPr>
                <w:rFonts w:ascii="仿宋_GB2312"/>
                <w:szCs w:val="32"/>
              </w:rPr>
              <w:t>安全技术测评：</w:t>
            </w:r>
            <w:r>
              <w:rPr>
                <w:rFonts w:hint="eastAsia" w:ascii="仿宋_GB2312"/>
                <w:szCs w:val="32"/>
                <w:lang w:eastAsia="zh-CN"/>
              </w:rPr>
              <w:t>安全物理环境、安全通信网络、安全区域边界、安全计算环境、安全管理中心</w:t>
            </w:r>
            <w:r>
              <w:rPr>
                <w:rFonts w:ascii="仿宋_GB2312"/>
                <w:szCs w:val="32"/>
              </w:rPr>
              <w:t>；</w:t>
            </w:r>
          </w:p>
          <w:p>
            <w:pPr>
              <w:spacing w:line="360" w:lineRule="auto"/>
              <w:contextualSpacing/>
              <w:rPr>
                <w:rFonts w:hint="default" w:ascii="仿宋_GB2312"/>
                <w:szCs w:val="32"/>
              </w:rPr>
            </w:pPr>
            <w:r>
              <w:rPr>
                <w:rFonts w:ascii="仿宋_GB2312"/>
                <w:szCs w:val="32"/>
              </w:rPr>
              <w:t>2)</w:t>
            </w:r>
            <w:r>
              <w:rPr>
                <w:rFonts w:ascii="仿宋_GB2312"/>
                <w:szCs w:val="32"/>
              </w:rPr>
              <w:tab/>
            </w:r>
            <w:r>
              <w:rPr>
                <w:rFonts w:ascii="仿宋_GB2312"/>
                <w:szCs w:val="32"/>
              </w:rPr>
              <w:t>安全管理测评：</w:t>
            </w:r>
            <w:r>
              <w:rPr>
                <w:rFonts w:hint="eastAsia" w:ascii="仿宋_GB2312"/>
                <w:szCs w:val="32"/>
                <w:lang w:eastAsia="zh-CN"/>
              </w:rPr>
              <w:t>安全管理制度、安全管理机构、安全管理人员、安全建设管理、安全运维管理</w:t>
            </w:r>
            <w:r>
              <w:rPr>
                <w:rFonts w:ascii="仿宋_GB2312"/>
                <w:szCs w:val="32"/>
              </w:rPr>
              <w:t>等五个方面的安全测评；</w:t>
            </w:r>
          </w:p>
          <w:p>
            <w:pPr>
              <w:spacing w:line="360" w:lineRule="auto"/>
              <w:contextualSpacing/>
              <w:rPr>
                <w:rFonts w:hint="default" w:ascii="仿宋_GB2312"/>
                <w:szCs w:val="32"/>
              </w:rPr>
            </w:pPr>
            <w:r>
              <w:rPr>
                <w:rFonts w:ascii="仿宋_GB2312"/>
                <w:szCs w:val="32"/>
              </w:rPr>
              <w:t>3)</w:t>
            </w:r>
            <w:r>
              <w:rPr>
                <w:rFonts w:ascii="仿宋_GB2312"/>
                <w:szCs w:val="32"/>
              </w:rPr>
              <w:tab/>
            </w:r>
            <w:r>
              <w:rPr>
                <w:rFonts w:ascii="仿宋_GB2312"/>
                <w:szCs w:val="32"/>
              </w:rPr>
              <w:t>工具测试：针对重要信息系统进行定期的漏洞扫描、渗透测试等安全服务工作；</w:t>
            </w:r>
          </w:p>
          <w:p>
            <w:pPr>
              <w:spacing w:line="360" w:lineRule="auto"/>
              <w:contextualSpacing/>
              <w:rPr>
                <w:rFonts w:hint="default" w:ascii="仿宋_GB2312"/>
                <w:szCs w:val="32"/>
              </w:rPr>
            </w:pPr>
            <w:r>
              <w:rPr>
                <w:rFonts w:ascii="仿宋_GB2312"/>
                <w:szCs w:val="32"/>
              </w:rPr>
              <w:t>4)</w:t>
            </w:r>
            <w:r>
              <w:rPr>
                <w:rFonts w:ascii="仿宋_GB2312"/>
                <w:szCs w:val="32"/>
              </w:rPr>
              <w:tab/>
            </w:r>
            <w:r>
              <w:rPr>
                <w:rFonts w:ascii="仿宋_GB2312"/>
                <w:szCs w:val="32"/>
              </w:rPr>
              <w:t>整改建议：投标人应根据现场测评中发现的问题，按照信息安全等级保护标准要求提出安全整改报告；</w:t>
            </w:r>
          </w:p>
          <w:p>
            <w:pPr>
              <w:spacing w:line="360" w:lineRule="auto"/>
              <w:contextualSpacing/>
              <w:rPr>
                <w:rFonts w:hint="default" w:ascii="仿宋_GB2312"/>
                <w:szCs w:val="32"/>
              </w:rPr>
            </w:pPr>
            <w:r>
              <w:rPr>
                <w:rFonts w:ascii="仿宋_GB2312"/>
                <w:szCs w:val="32"/>
              </w:rPr>
              <w:t>5)</w:t>
            </w:r>
            <w:r>
              <w:rPr>
                <w:rFonts w:ascii="仿宋_GB2312"/>
                <w:szCs w:val="32"/>
              </w:rPr>
              <w:tab/>
            </w:r>
            <w:r>
              <w:rPr>
                <w:rFonts w:ascii="仿宋_GB2312"/>
                <w:szCs w:val="32"/>
              </w:rPr>
              <w:t>编制和完善安全管理制度：依据《信息系统安全等级保护基本要求》和《信息系统等级保护安全设计技术要求》，协助招标方制订和完善各项信息安全管理制度，规范信息安全日常管理工作，提高信息安全基础管理水平；</w:t>
            </w:r>
          </w:p>
          <w:p>
            <w:pPr>
              <w:spacing w:line="360" w:lineRule="auto"/>
              <w:contextualSpacing/>
              <w:rPr>
                <w:rFonts w:hint="default" w:ascii="仿宋_GB2312"/>
                <w:szCs w:val="32"/>
              </w:rPr>
            </w:pPr>
            <w:r>
              <w:rPr>
                <w:rFonts w:ascii="仿宋_GB2312"/>
                <w:szCs w:val="32"/>
              </w:rPr>
              <w:t>6)</w:t>
            </w:r>
            <w:r>
              <w:rPr>
                <w:rFonts w:ascii="仿宋_GB2312"/>
                <w:szCs w:val="32"/>
              </w:rPr>
              <w:tab/>
            </w:r>
            <w:r>
              <w:rPr>
                <w:rFonts w:ascii="仿宋_GB2312"/>
                <w:szCs w:val="32"/>
              </w:rPr>
              <w:t>编制测评报告：完成上述测评工作和整改加固实施后，投标人最后出具符合公安机关要求的各信息系统网络安全等级保护测评报告。</w:t>
            </w:r>
          </w:p>
          <w:p>
            <w:pPr>
              <w:spacing w:line="360" w:lineRule="auto"/>
              <w:contextualSpacing/>
              <w:rPr>
                <w:rFonts w:hint="default" w:ascii="仿宋_GB2312"/>
                <w:szCs w:val="32"/>
              </w:rPr>
            </w:pPr>
            <w:r>
              <w:rPr>
                <w:rFonts w:ascii="仿宋_GB2312"/>
                <w:szCs w:val="32"/>
                <w:highlight w:val="yellow"/>
              </w:rPr>
              <w:t>工作三：信息安全培训</w:t>
            </w:r>
          </w:p>
          <w:p>
            <w:pPr>
              <w:spacing w:line="360" w:lineRule="auto"/>
              <w:contextualSpacing/>
              <w:rPr>
                <w:rFonts w:hint="default" w:ascii="仿宋_GB2312"/>
                <w:szCs w:val="32"/>
              </w:rPr>
            </w:pPr>
            <w:r>
              <w:rPr>
                <w:rFonts w:ascii="仿宋_GB2312"/>
                <w:szCs w:val="32"/>
              </w:rPr>
              <w:t>投标人需要为采购方提供不少于线上、线下各5次的信息安全技术培训，确保管理人员和技术人员掌握关于信息系统等级保护相关规范、信息安全策略、信息保密制度，信息安全管理制度和相关流程等；信息安全培训方式分为以下几种：</w:t>
            </w:r>
          </w:p>
          <w:p>
            <w:pPr>
              <w:spacing w:line="360" w:lineRule="auto"/>
              <w:contextualSpacing/>
              <w:rPr>
                <w:rFonts w:hint="default" w:ascii="仿宋_GB2312"/>
                <w:szCs w:val="32"/>
              </w:rPr>
            </w:pPr>
            <w:r>
              <w:rPr>
                <w:rFonts w:ascii="仿宋_GB2312"/>
                <w:szCs w:val="32"/>
              </w:rPr>
              <w:t>线下培训：</w:t>
            </w:r>
          </w:p>
          <w:p>
            <w:pPr>
              <w:spacing w:line="360" w:lineRule="auto"/>
              <w:contextualSpacing/>
              <w:rPr>
                <w:rFonts w:hint="default" w:ascii="仿宋_GB2312"/>
                <w:szCs w:val="32"/>
              </w:rPr>
            </w:pPr>
            <w:r>
              <w:rPr>
                <w:rFonts w:ascii="仿宋_GB2312"/>
                <w:szCs w:val="32"/>
              </w:rPr>
              <w:t>线下培训，即为集中授课培训。由中标方安排资深信息安全人员，对采购方人员讲解信息安全相关规范、流程、技术等方面的知识。</w:t>
            </w:r>
          </w:p>
          <w:p>
            <w:pPr>
              <w:spacing w:line="360" w:lineRule="auto"/>
              <w:contextualSpacing/>
              <w:rPr>
                <w:rFonts w:hint="default" w:ascii="仿宋_GB2312"/>
                <w:szCs w:val="32"/>
              </w:rPr>
            </w:pPr>
            <w:r>
              <w:rPr>
                <w:rFonts w:ascii="仿宋_GB2312"/>
                <w:szCs w:val="32"/>
              </w:rPr>
              <w:t>线上培训：</w:t>
            </w:r>
          </w:p>
          <w:p>
            <w:pPr>
              <w:spacing w:line="360" w:lineRule="auto"/>
              <w:contextualSpacing/>
              <w:rPr>
                <w:rFonts w:hint="default" w:ascii="仿宋_GB2312"/>
                <w:szCs w:val="32"/>
              </w:rPr>
            </w:pPr>
            <w:r>
              <w:rPr>
                <w:rFonts w:ascii="仿宋_GB2312"/>
                <w:szCs w:val="32"/>
              </w:rPr>
              <w:t>通过在QQ及时通讯工具，对使用人员进行培训。可以采用远程方式，演示系统操作步骤。</w:t>
            </w:r>
          </w:p>
          <w:p>
            <w:pPr>
              <w:spacing w:line="360" w:lineRule="auto"/>
              <w:contextualSpacing/>
              <w:rPr>
                <w:rFonts w:hint="default" w:ascii="仿宋_GB2312"/>
                <w:szCs w:val="32"/>
              </w:rPr>
            </w:pPr>
            <w:r>
              <w:rPr>
                <w:rFonts w:ascii="仿宋_GB2312"/>
                <w:szCs w:val="32"/>
              </w:rPr>
              <w:t>即时通讯方式培训：</w:t>
            </w:r>
          </w:p>
          <w:p>
            <w:pPr>
              <w:spacing w:line="360" w:lineRule="auto"/>
              <w:contextualSpacing/>
              <w:rPr>
                <w:rFonts w:hint="default" w:ascii="仿宋_GB2312"/>
                <w:szCs w:val="32"/>
              </w:rPr>
            </w:pPr>
            <w:r>
              <w:rPr>
                <w:rFonts w:ascii="仿宋_GB2312"/>
                <w:szCs w:val="32"/>
              </w:rPr>
              <w:t>对于一些情况较为紧急的使用问题，使用电话方式、微信或其他即时通讯，对使用人员进行系统讲解。</w:t>
            </w:r>
          </w:p>
          <w:p>
            <w:pPr>
              <w:spacing w:line="360" w:lineRule="auto"/>
              <w:contextualSpacing/>
              <w:rPr>
                <w:rFonts w:hint="default" w:ascii="仿宋_GB2312"/>
                <w:szCs w:val="32"/>
              </w:rPr>
            </w:pPr>
            <w:r>
              <w:rPr>
                <w:rFonts w:ascii="仿宋_GB2312"/>
                <w:szCs w:val="32"/>
              </w:rPr>
              <w:t>培训资料：</w:t>
            </w:r>
          </w:p>
          <w:p>
            <w:pPr>
              <w:spacing w:line="360" w:lineRule="auto"/>
              <w:contextualSpacing/>
              <w:rPr>
                <w:rFonts w:ascii="仿宋_GB2312"/>
                <w:szCs w:val="32"/>
              </w:rPr>
            </w:pPr>
            <w:r>
              <w:rPr>
                <w:rFonts w:ascii="仿宋_GB2312"/>
                <w:szCs w:val="32"/>
              </w:rPr>
              <w:t>提供培训课件相关资料。</w:t>
            </w:r>
          </w:p>
          <w:p>
            <w:pPr>
              <w:spacing w:line="360" w:lineRule="auto"/>
              <w:contextualSpacing/>
              <w:rPr>
                <w:rFonts w:hint="eastAsia" w:ascii="仿宋_GB2312"/>
                <w:szCs w:val="32"/>
                <w:highlight w:val="yellow"/>
                <w:lang w:val="en-US" w:eastAsia="zh-CN"/>
              </w:rPr>
            </w:pPr>
            <w:r>
              <w:rPr>
                <w:rFonts w:hint="eastAsia" w:ascii="仿宋_GB2312"/>
                <w:szCs w:val="32"/>
                <w:highlight w:val="yellow"/>
                <w:lang w:val="en-US" w:eastAsia="zh-CN"/>
              </w:rPr>
              <w:t>工作四：信息安全规划</w:t>
            </w:r>
          </w:p>
          <w:p>
            <w:pPr>
              <w:spacing w:line="360" w:lineRule="auto"/>
              <w:contextualSpacing/>
              <w:rPr>
                <w:rFonts w:hint="eastAsia" w:ascii="仿宋_GB2312" w:eastAsia="仿宋_GB2312"/>
                <w:szCs w:val="32"/>
                <w:lang w:eastAsia="zh-CN"/>
              </w:rPr>
            </w:pPr>
            <w:r>
              <w:rPr>
                <w:rFonts w:hint="eastAsia" w:ascii="仿宋_GB2312"/>
                <w:szCs w:val="32"/>
              </w:rPr>
              <w:t>投标人需要根据采购方目前业务运行情况及业务发展需要，提供可行的安全规划</w:t>
            </w:r>
            <w:r>
              <w:rPr>
                <w:rFonts w:hint="eastAsia" w:ascii="仿宋_GB2312"/>
                <w:szCs w:val="32"/>
                <w:lang w:eastAsia="zh-CN"/>
              </w:rPr>
              <w:t>。</w:t>
            </w:r>
          </w:p>
          <w:p>
            <w:pPr>
              <w:spacing w:line="360" w:lineRule="auto"/>
              <w:contextualSpacing/>
              <w:rPr>
                <w:rFonts w:hint="eastAsia" w:ascii="仿宋_GB2312"/>
                <w:szCs w:val="32"/>
                <w:highlight w:val="yellow"/>
                <w:lang w:val="en-US" w:eastAsia="zh-CN"/>
              </w:rPr>
            </w:pPr>
            <w:r>
              <w:rPr>
                <w:rFonts w:hint="eastAsia" w:ascii="仿宋_GB2312"/>
                <w:szCs w:val="32"/>
                <w:highlight w:val="yellow"/>
                <w:lang w:val="en-US" w:eastAsia="zh-CN"/>
              </w:rPr>
              <w:t>工作五：信息安全保障</w:t>
            </w:r>
          </w:p>
          <w:p>
            <w:pPr>
              <w:spacing w:before="240" w:after="120" w:line="480" w:lineRule="atLeast"/>
              <w:rPr>
                <w:rFonts w:hint="eastAsia" w:ascii="仿宋_GB2312"/>
                <w:szCs w:val="32"/>
              </w:rPr>
            </w:pPr>
            <w:r>
              <w:rPr>
                <w:rFonts w:hint="eastAsia" w:ascii="仿宋_GB2312"/>
                <w:szCs w:val="32"/>
              </w:rPr>
              <w:t>合同签订后1年内，需要配合医院对医院信息安全提供保障，包括但不限于安全隐患排查及每</w:t>
            </w:r>
            <w:r>
              <w:rPr>
                <w:rFonts w:hint="eastAsia" w:ascii="仿宋_GB2312"/>
                <w:szCs w:val="32"/>
                <w:lang w:val="en-US" w:eastAsia="zh-CN"/>
              </w:rPr>
              <w:t>年</w:t>
            </w:r>
            <w:r>
              <w:rPr>
                <w:rFonts w:hint="eastAsia" w:ascii="仿宋_GB2312"/>
                <w:szCs w:val="32"/>
              </w:rPr>
              <w:t>度一次的巡检。</w:t>
            </w:r>
          </w:p>
          <w:p>
            <w:pPr>
              <w:spacing w:before="240" w:after="120" w:line="480" w:lineRule="atLeast"/>
              <w:rPr>
                <w:rFonts w:hint="eastAsia" w:ascii="仿宋_GB2312"/>
                <w:szCs w:val="32"/>
                <w:highlight w:val="yellow"/>
                <w:lang w:val="en-US" w:eastAsia="zh-CN"/>
              </w:rPr>
            </w:pPr>
            <w:r>
              <w:rPr>
                <w:rFonts w:hint="eastAsia" w:ascii="仿宋_GB2312"/>
                <w:szCs w:val="32"/>
                <w:highlight w:val="yellow"/>
                <w:lang w:val="en-US" w:eastAsia="zh-CN"/>
              </w:rPr>
              <w:t>工作六：信息人才培养</w:t>
            </w:r>
          </w:p>
          <w:p>
            <w:pPr>
              <w:spacing w:before="240" w:after="120" w:line="480" w:lineRule="atLeast"/>
              <w:rPr>
                <w:rFonts w:hint="default" w:ascii="仿宋_GB2312"/>
                <w:szCs w:val="32"/>
                <w:lang w:val="en-US" w:eastAsia="zh-CN"/>
              </w:rPr>
            </w:pPr>
            <w:r>
              <w:rPr>
                <w:rFonts w:hint="eastAsia" w:ascii="仿宋_GB2312"/>
                <w:szCs w:val="32"/>
                <w:lang w:val="en-US" w:eastAsia="zh-CN"/>
              </w:rPr>
              <w:t>合同签订后，为招标方工作人员提供CIIP-A证书。</w:t>
            </w:r>
          </w:p>
          <w:p>
            <w:pPr>
              <w:spacing w:line="360" w:lineRule="auto"/>
              <w:contextualSpacing/>
              <w:rPr>
                <w:rFonts w:hint="default" w:ascii="仿宋_GB2312"/>
                <w:szCs w:val="32"/>
                <w:lang w:val="en-US" w:eastAsia="zh-CN"/>
              </w:rPr>
            </w:pPr>
          </w:p>
          <w:p>
            <w:pPr>
              <w:spacing w:line="360" w:lineRule="auto"/>
              <w:contextualSpacing/>
              <w:rPr>
                <w:rFonts w:hint="default" w:ascii="仿宋_GB2312" w:hAnsi="仿宋" w:cs="仿宋"/>
                <w:kern w:val="0"/>
                <w:szCs w:val="32"/>
              </w:rPr>
            </w:pPr>
          </w:p>
        </w:tc>
      </w:tr>
      <w:tr>
        <w:tblPrEx>
          <w:tblCellMar>
            <w:top w:w="0" w:type="dxa"/>
            <w:left w:w="108" w:type="dxa"/>
            <w:bottom w:w="0" w:type="dxa"/>
            <w:right w:w="108" w:type="dxa"/>
          </w:tblCellMar>
        </w:tblPrEx>
        <w:trPr>
          <w:trHeight w:val="45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4</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投标截止时间</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default" w:ascii="仿宋_GB2312" w:hAnsi="仿宋" w:cs="仿宋"/>
                <w:kern w:val="0"/>
                <w:szCs w:val="32"/>
              </w:rPr>
            </w:pPr>
            <w:r>
              <w:rPr>
                <w:rFonts w:ascii="仿宋_GB2312" w:hAnsi="仿宋" w:cs="仿宋"/>
                <w:kern w:val="0"/>
                <w:szCs w:val="32"/>
              </w:rPr>
              <w:t>20</w:t>
            </w:r>
            <w:r>
              <w:rPr>
                <w:rFonts w:hint="eastAsia" w:ascii="仿宋_GB2312" w:hAnsi="仿宋" w:cs="仿宋"/>
                <w:kern w:val="0"/>
                <w:szCs w:val="32"/>
                <w:lang w:val="en-US" w:eastAsia="zh-CN"/>
              </w:rPr>
              <w:t>20</w:t>
            </w:r>
            <w:r>
              <w:rPr>
                <w:rFonts w:ascii="仿宋_GB2312" w:hAnsi="仿宋" w:cs="仿宋"/>
                <w:kern w:val="0"/>
                <w:szCs w:val="32"/>
              </w:rPr>
              <w:t>年</w:t>
            </w:r>
            <w:r>
              <w:rPr>
                <w:rFonts w:hint="eastAsia" w:ascii="仿宋_GB2312" w:hAnsi="仿宋" w:cs="仿宋"/>
                <w:kern w:val="0"/>
                <w:szCs w:val="32"/>
                <w:lang w:val="en-US" w:eastAsia="zh-CN"/>
              </w:rPr>
              <w:t>8</w:t>
            </w:r>
            <w:r>
              <w:rPr>
                <w:rFonts w:ascii="仿宋_GB2312" w:hAnsi="仿宋" w:cs="仿宋"/>
                <w:kern w:val="0"/>
                <w:szCs w:val="32"/>
              </w:rPr>
              <w:t>月</w:t>
            </w:r>
            <w:r>
              <w:rPr>
                <w:rFonts w:hint="eastAsia" w:ascii="仿宋_GB2312" w:hAnsi="仿宋" w:cs="仿宋"/>
                <w:kern w:val="0"/>
                <w:szCs w:val="32"/>
                <w:lang w:val="en-US" w:eastAsia="zh-CN"/>
              </w:rPr>
              <w:t>14</w:t>
            </w:r>
            <w:r>
              <w:rPr>
                <w:rFonts w:ascii="仿宋_GB2312" w:hAnsi="仿宋" w:cs="仿宋"/>
                <w:kern w:val="0"/>
                <w:szCs w:val="32"/>
              </w:rPr>
              <w:t>日</w:t>
            </w:r>
            <w:r>
              <w:rPr>
                <w:rFonts w:hint="eastAsia" w:ascii="仿宋_GB2312" w:hAnsi="仿宋" w:cs="仿宋"/>
                <w:kern w:val="0"/>
                <w:szCs w:val="32"/>
                <w:lang w:val="en-US" w:eastAsia="zh-CN"/>
              </w:rPr>
              <w:t>12</w:t>
            </w:r>
            <w:r>
              <w:rPr>
                <w:rFonts w:ascii="仿宋_GB2312" w:hAnsi="仿宋" w:cs="仿宋"/>
                <w:kern w:val="0"/>
                <w:szCs w:val="32"/>
              </w:rPr>
              <w:t>时0分</w:t>
            </w:r>
          </w:p>
        </w:tc>
      </w:tr>
      <w:tr>
        <w:tblPrEx>
          <w:tblCellMar>
            <w:top w:w="0" w:type="dxa"/>
            <w:left w:w="108" w:type="dxa"/>
            <w:bottom w:w="0" w:type="dxa"/>
            <w:right w:w="108" w:type="dxa"/>
          </w:tblCellMar>
        </w:tblPrEx>
        <w:trPr>
          <w:trHeight w:val="45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5</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default" w:ascii="仿宋_GB2312" w:hAnsi="仿宋" w:cs="仿宋"/>
                <w:kern w:val="0"/>
                <w:szCs w:val="32"/>
              </w:rPr>
            </w:pPr>
            <w:r>
              <w:rPr>
                <w:rFonts w:ascii="仿宋_GB2312" w:hAnsi="仿宋" w:cs="仿宋"/>
                <w:kern w:val="0"/>
                <w:szCs w:val="32"/>
              </w:rPr>
              <w:t>无</w:t>
            </w:r>
          </w:p>
        </w:tc>
      </w:tr>
      <w:tr>
        <w:tblPrEx>
          <w:tblCellMar>
            <w:top w:w="0" w:type="dxa"/>
            <w:left w:w="108" w:type="dxa"/>
            <w:bottom w:w="0" w:type="dxa"/>
            <w:right w:w="108" w:type="dxa"/>
          </w:tblCellMar>
        </w:tblPrEx>
        <w:trPr>
          <w:trHeight w:val="552"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6</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签字或盖章要求</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法定代表人或其委托代理人签字并盖单位章</w:t>
            </w:r>
          </w:p>
        </w:tc>
      </w:tr>
      <w:tr>
        <w:tblPrEx>
          <w:tblCellMar>
            <w:top w:w="0" w:type="dxa"/>
            <w:left w:w="108" w:type="dxa"/>
            <w:bottom w:w="0" w:type="dxa"/>
            <w:right w:w="108" w:type="dxa"/>
          </w:tblCellMar>
        </w:tblPrEx>
        <w:trPr>
          <w:trHeight w:val="55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7</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投标文件正副本份数</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正本 1 份，副本 1 份</w:t>
            </w:r>
          </w:p>
        </w:tc>
      </w:tr>
      <w:tr>
        <w:tblPrEx>
          <w:tblCellMar>
            <w:top w:w="0" w:type="dxa"/>
            <w:left w:w="108" w:type="dxa"/>
            <w:bottom w:w="0" w:type="dxa"/>
            <w:right w:w="108" w:type="dxa"/>
          </w:tblCellMar>
        </w:tblPrEx>
        <w:trPr>
          <w:trHeight w:val="113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8</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装订要求</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投标文件的正本与副本应分别装订成册，采用胶订、平订或线订等，不得采用活页装订方式</w:t>
            </w:r>
          </w:p>
        </w:tc>
      </w:tr>
      <w:tr>
        <w:tblPrEx>
          <w:tblCellMar>
            <w:top w:w="0" w:type="dxa"/>
            <w:left w:w="108" w:type="dxa"/>
            <w:bottom w:w="0" w:type="dxa"/>
            <w:right w:w="108" w:type="dxa"/>
          </w:tblCellMar>
        </w:tblPrEx>
        <w:trPr>
          <w:trHeight w:val="128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9</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封套上写明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hint="default" w:ascii="仿宋_GB2312" w:hAnsi="仿宋" w:cs="仿宋"/>
                <w:kern w:val="0"/>
                <w:szCs w:val="32"/>
              </w:rPr>
            </w:pPr>
            <w:r>
              <w:rPr>
                <w:rFonts w:ascii="仿宋_GB2312" w:hAnsi="仿宋" w:cs="仿宋"/>
                <w:kern w:val="0"/>
                <w:szCs w:val="32"/>
              </w:rPr>
              <w:t xml:space="preserve">招标项目名称、招标编号/包件号和投标人全称，注明“在  </w:t>
            </w:r>
            <w:r>
              <w:rPr>
                <w:rFonts w:hint="eastAsia" w:ascii="仿宋_GB2312" w:hAnsi="仿宋" w:cs="仿宋"/>
                <w:kern w:val="0"/>
                <w:szCs w:val="32"/>
                <w:lang w:val="en-US" w:eastAsia="zh-CN"/>
              </w:rPr>
              <w:t>2020</w:t>
            </w:r>
            <w:r>
              <w:rPr>
                <w:rFonts w:ascii="仿宋_GB2312" w:hAnsi="仿宋" w:cs="仿宋"/>
                <w:kern w:val="0"/>
                <w:szCs w:val="32"/>
              </w:rPr>
              <w:t xml:space="preserve"> 年 </w:t>
            </w:r>
            <w:r>
              <w:rPr>
                <w:rFonts w:hint="eastAsia" w:ascii="仿宋_GB2312" w:hAnsi="仿宋" w:cs="仿宋"/>
                <w:kern w:val="0"/>
                <w:szCs w:val="32"/>
                <w:lang w:val="en-US" w:eastAsia="zh-CN"/>
              </w:rPr>
              <w:t>8</w:t>
            </w:r>
            <w:r>
              <w:rPr>
                <w:rFonts w:ascii="仿宋_GB2312" w:hAnsi="仿宋" w:cs="仿宋"/>
                <w:kern w:val="0"/>
                <w:szCs w:val="32"/>
              </w:rPr>
              <w:t>月</w:t>
            </w:r>
            <w:r>
              <w:rPr>
                <w:rFonts w:hint="eastAsia" w:ascii="仿宋_GB2312" w:hAnsi="仿宋" w:cs="仿宋"/>
                <w:kern w:val="0"/>
                <w:szCs w:val="32"/>
                <w:lang w:val="en-US" w:eastAsia="zh-CN"/>
              </w:rPr>
              <w:t>14</w:t>
            </w:r>
            <w:r>
              <w:rPr>
                <w:rFonts w:ascii="仿宋_GB2312" w:hAnsi="仿宋" w:cs="仿宋"/>
                <w:kern w:val="0"/>
                <w:szCs w:val="32"/>
              </w:rPr>
              <w:t>日</w:t>
            </w:r>
            <w:r>
              <w:rPr>
                <w:rFonts w:hint="eastAsia" w:ascii="仿宋_GB2312" w:hAnsi="仿宋" w:cs="仿宋"/>
                <w:kern w:val="0"/>
                <w:szCs w:val="32"/>
                <w:lang w:val="en-US" w:eastAsia="zh-CN"/>
              </w:rPr>
              <w:t>15</w:t>
            </w:r>
            <w:r>
              <w:rPr>
                <w:rFonts w:ascii="仿宋_GB2312" w:hAnsi="仿宋" w:cs="仿宋"/>
                <w:kern w:val="0"/>
                <w:szCs w:val="32"/>
              </w:rPr>
              <w:t xml:space="preserve">     时</w:t>
            </w:r>
            <w:r>
              <w:rPr>
                <w:rFonts w:hint="eastAsia" w:ascii="仿宋_GB2312" w:hAnsi="仿宋" w:cs="仿宋"/>
                <w:kern w:val="0"/>
                <w:szCs w:val="32"/>
                <w:lang w:val="en-US" w:eastAsia="zh-CN"/>
              </w:rPr>
              <w:t>30分</w:t>
            </w:r>
            <w:r>
              <w:rPr>
                <w:rFonts w:ascii="仿宋_GB2312" w:hAnsi="仿宋" w:cs="仿宋"/>
                <w:kern w:val="0"/>
                <w:szCs w:val="32"/>
              </w:rPr>
              <w:t>前不得开启”字样，密封处应有密封章。</w:t>
            </w:r>
          </w:p>
        </w:tc>
      </w:tr>
      <w:tr>
        <w:tblPrEx>
          <w:tblCellMar>
            <w:top w:w="0" w:type="dxa"/>
            <w:left w:w="108" w:type="dxa"/>
            <w:bottom w:w="0" w:type="dxa"/>
            <w:right w:w="108" w:type="dxa"/>
          </w:tblCellMar>
        </w:tblPrEx>
        <w:trPr>
          <w:trHeight w:val="1326"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递交投标文件地点</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left"/>
              <w:textAlignment w:val="baseline"/>
              <w:rPr>
                <w:rFonts w:hint="default" w:ascii="仿宋_GB2312" w:hAnsi="仿宋" w:cs="仿宋"/>
                <w:kern w:val="0"/>
                <w:szCs w:val="32"/>
              </w:rPr>
            </w:pPr>
            <w:r>
              <w:rPr>
                <w:rFonts w:ascii="仿宋_GB2312" w:hAnsi="仿宋" w:cs="仿宋"/>
                <w:kern w:val="0"/>
                <w:szCs w:val="32"/>
              </w:rPr>
              <w:t>20</w:t>
            </w:r>
            <w:r>
              <w:rPr>
                <w:rFonts w:hint="eastAsia" w:ascii="仿宋_GB2312" w:hAnsi="仿宋" w:cs="仿宋"/>
                <w:kern w:val="0"/>
                <w:szCs w:val="32"/>
                <w:lang w:val="en-US" w:eastAsia="zh-CN"/>
              </w:rPr>
              <w:t>20</w:t>
            </w:r>
            <w:r>
              <w:rPr>
                <w:rFonts w:ascii="仿宋_GB2312" w:hAnsi="仿宋" w:cs="仿宋"/>
                <w:kern w:val="0"/>
                <w:szCs w:val="32"/>
              </w:rPr>
              <w:t>年</w:t>
            </w:r>
            <w:r>
              <w:rPr>
                <w:rFonts w:hint="eastAsia" w:ascii="仿宋_GB2312" w:hAnsi="仿宋" w:cs="仿宋"/>
                <w:kern w:val="0"/>
                <w:szCs w:val="32"/>
                <w:lang w:val="en-US" w:eastAsia="zh-CN"/>
              </w:rPr>
              <w:t>8</w:t>
            </w:r>
            <w:r>
              <w:rPr>
                <w:rFonts w:ascii="仿宋_GB2312" w:hAnsi="仿宋" w:cs="仿宋"/>
                <w:kern w:val="0"/>
                <w:szCs w:val="32"/>
              </w:rPr>
              <w:t>月</w:t>
            </w:r>
            <w:r>
              <w:rPr>
                <w:rFonts w:hint="eastAsia" w:ascii="仿宋_GB2312" w:hAnsi="仿宋" w:cs="仿宋"/>
                <w:kern w:val="0"/>
                <w:szCs w:val="32"/>
                <w:lang w:val="en-US" w:eastAsia="zh-CN"/>
              </w:rPr>
              <w:t>14</w:t>
            </w:r>
            <w:r>
              <w:rPr>
                <w:rFonts w:ascii="仿宋_GB2312" w:hAnsi="仿宋" w:cs="仿宋"/>
                <w:kern w:val="0"/>
                <w:szCs w:val="32"/>
              </w:rPr>
              <w:t>日</w:t>
            </w:r>
            <w:r>
              <w:rPr>
                <w:rFonts w:hint="eastAsia" w:ascii="仿宋_GB2312" w:hAnsi="仿宋" w:cs="仿宋"/>
                <w:kern w:val="0"/>
                <w:szCs w:val="32"/>
                <w:lang w:val="en-US" w:eastAsia="zh-CN"/>
              </w:rPr>
              <w:t>15</w:t>
            </w:r>
            <w:r>
              <w:rPr>
                <w:rFonts w:ascii="仿宋_GB2312" w:hAnsi="仿宋" w:cs="仿宋"/>
                <w:kern w:val="0"/>
                <w:szCs w:val="32"/>
              </w:rPr>
              <w:t>时</w:t>
            </w:r>
            <w:r>
              <w:rPr>
                <w:rFonts w:hint="eastAsia" w:ascii="仿宋_GB2312" w:hAnsi="仿宋" w:cs="仿宋"/>
                <w:kern w:val="0"/>
                <w:szCs w:val="32"/>
                <w:lang w:val="en-US" w:eastAsia="zh-CN"/>
              </w:rPr>
              <w:t>3</w:t>
            </w:r>
            <w:r>
              <w:rPr>
                <w:rFonts w:ascii="仿宋_GB2312" w:hAnsi="仿宋" w:cs="仿宋"/>
                <w:kern w:val="0"/>
                <w:szCs w:val="32"/>
              </w:rPr>
              <w:t>0分</w:t>
            </w:r>
          </w:p>
          <w:p>
            <w:pPr>
              <w:adjustRightInd w:val="0"/>
              <w:spacing w:line="360" w:lineRule="auto"/>
              <w:contextualSpacing/>
              <w:textAlignment w:val="baseline"/>
              <w:rPr>
                <w:rFonts w:hint="default" w:ascii="仿宋_GB2312" w:hAnsi="仿宋" w:cs="仿宋"/>
                <w:kern w:val="0"/>
                <w:szCs w:val="32"/>
                <w:lang w:val="en-US"/>
              </w:rPr>
            </w:pPr>
            <w:r>
              <w:rPr>
                <w:rFonts w:hint="eastAsia" w:ascii="仿宋_GB2312" w:hAnsi="仿宋" w:cs="仿宋"/>
                <w:kern w:val="0"/>
                <w:szCs w:val="32"/>
                <w:lang w:val="en-US" w:eastAsia="zh-CN"/>
              </w:rPr>
              <w:t>安徽省中西医结合医院行政楼二楼信息中心</w:t>
            </w:r>
          </w:p>
        </w:tc>
      </w:tr>
      <w:tr>
        <w:tblPrEx>
          <w:tblCellMar>
            <w:top w:w="0" w:type="dxa"/>
            <w:left w:w="108" w:type="dxa"/>
            <w:bottom w:w="0" w:type="dxa"/>
            <w:right w:w="108" w:type="dxa"/>
          </w:tblCellMar>
        </w:tblPrEx>
        <w:trPr>
          <w:trHeight w:val="533"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是否退还投标文件</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不退回投标文件</w:t>
            </w:r>
          </w:p>
        </w:tc>
      </w:tr>
      <w:tr>
        <w:tblPrEx>
          <w:tblCellMar>
            <w:top w:w="0" w:type="dxa"/>
            <w:left w:w="108" w:type="dxa"/>
            <w:bottom w:w="0" w:type="dxa"/>
            <w:right w:w="108" w:type="dxa"/>
          </w:tblCellMar>
        </w:tblPrEx>
        <w:trPr>
          <w:trHeight w:val="158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12</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开标时间和地点</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开标时间： 20</w:t>
            </w:r>
            <w:r>
              <w:rPr>
                <w:rFonts w:hint="eastAsia" w:ascii="仿宋_GB2312" w:hAnsi="仿宋" w:cs="仿宋"/>
                <w:kern w:val="0"/>
                <w:szCs w:val="32"/>
                <w:lang w:val="en-US" w:eastAsia="zh-CN"/>
              </w:rPr>
              <w:t>20</w:t>
            </w:r>
            <w:r>
              <w:rPr>
                <w:rFonts w:ascii="仿宋_GB2312" w:hAnsi="仿宋" w:cs="仿宋"/>
                <w:kern w:val="0"/>
                <w:szCs w:val="32"/>
              </w:rPr>
              <w:t>年</w:t>
            </w:r>
            <w:r>
              <w:rPr>
                <w:rFonts w:hint="default" w:ascii="仿宋_GB2312" w:hAnsi="仿宋" w:cs="仿宋"/>
                <w:kern w:val="0"/>
                <w:szCs w:val="32"/>
              </w:rPr>
              <w:t>08</w:t>
            </w:r>
            <w:r>
              <w:rPr>
                <w:rFonts w:ascii="仿宋_GB2312" w:hAnsi="仿宋" w:cs="仿宋"/>
                <w:kern w:val="0"/>
                <w:szCs w:val="32"/>
              </w:rPr>
              <w:t>月</w:t>
            </w:r>
            <w:r>
              <w:rPr>
                <w:rFonts w:hint="eastAsia" w:ascii="仿宋_GB2312" w:hAnsi="仿宋" w:cs="仿宋"/>
                <w:kern w:val="0"/>
                <w:szCs w:val="32"/>
                <w:lang w:val="en-US" w:eastAsia="zh-CN"/>
              </w:rPr>
              <w:t>14</w:t>
            </w:r>
            <w:r>
              <w:rPr>
                <w:rFonts w:ascii="仿宋_GB2312" w:hAnsi="仿宋" w:cs="仿宋"/>
                <w:kern w:val="0"/>
                <w:szCs w:val="32"/>
              </w:rPr>
              <w:t xml:space="preserve">日 </w:t>
            </w:r>
            <w:r>
              <w:rPr>
                <w:rFonts w:hint="eastAsia" w:ascii="仿宋_GB2312" w:hAnsi="仿宋" w:cs="仿宋"/>
                <w:kern w:val="0"/>
                <w:szCs w:val="32"/>
                <w:lang w:val="en-US" w:eastAsia="zh-CN"/>
              </w:rPr>
              <w:t>15</w:t>
            </w:r>
            <w:r>
              <w:rPr>
                <w:rFonts w:ascii="仿宋_GB2312" w:hAnsi="仿宋" w:cs="仿宋"/>
                <w:kern w:val="0"/>
                <w:szCs w:val="32"/>
              </w:rPr>
              <w:t>时</w:t>
            </w:r>
            <w:r>
              <w:rPr>
                <w:rFonts w:hint="eastAsia" w:ascii="仿宋_GB2312" w:hAnsi="仿宋" w:cs="仿宋"/>
                <w:kern w:val="0"/>
                <w:szCs w:val="32"/>
                <w:lang w:val="en-US" w:eastAsia="zh-CN"/>
              </w:rPr>
              <w:t>3</w:t>
            </w:r>
            <w:r>
              <w:rPr>
                <w:rFonts w:ascii="仿宋_GB2312" w:hAnsi="仿宋" w:cs="仿宋"/>
                <w:kern w:val="0"/>
                <w:szCs w:val="32"/>
              </w:rPr>
              <w:t>0分（同投标截止时间）</w:t>
            </w:r>
          </w:p>
          <w:p>
            <w:pPr>
              <w:adjustRightInd w:val="0"/>
              <w:spacing w:line="360" w:lineRule="auto"/>
              <w:contextualSpacing/>
              <w:textAlignment w:val="baseline"/>
              <w:rPr>
                <w:rFonts w:hint="default" w:ascii="仿宋_GB2312" w:hAnsi="仿宋" w:cs="仿宋"/>
                <w:kern w:val="0"/>
                <w:szCs w:val="32"/>
                <w:lang w:val="en-US"/>
              </w:rPr>
            </w:pPr>
            <w:r>
              <w:rPr>
                <w:rFonts w:ascii="仿宋_GB2312" w:hAnsi="仿宋" w:cs="仿宋"/>
                <w:kern w:val="0"/>
                <w:szCs w:val="32"/>
              </w:rPr>
              <w:t>开标地点：</w:t>
            </w:r>
            <w:r>
              <w:rPr>
                <w:rFonts w:hint="eastAsia" w:ascii="仿宋_GB2312" w:hAnsi="仿宋" w:cs="仿宋"/>
                <w:kern w:val="0"/>
                <w:szCs w:val="32"/>
                <w:lang w:val="en-US" w:eastAsia="zh-CN"/>
              </w:rPr>
              <w:t>安徽省中西医结合医院行政楼二楼信息中心</w:t>
            </w:r>
          </w:p>
        </w:tc>
      </w:tr>
      <w:tr>
        <w:tblPrEx>
          <w:tblCellMar>
            <w:top w:w="0" w:type="dxa"/>
            <w:left w:w="108" w:type="dxa"/>
            <w:bottom w:w="0" w:type="dxa"/>
            <w:right w:w="108" w:type="dxa"/>
          </w:tblCellMar>
        </w:tblPrEx>
        <w:trPr>
          <w:trHeight w:val="1572"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13</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工程报价</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 xml:space="preserve">不能明显的高于或者明显的低于行业内的平均市场价格，最高报价不得高于 </w:t>
            </w:r>
            <w:r>
              <w:rPr>
                <w:rFonts w:hint="eastAsia" w:ascii="仿宋_GB2312" w:hAnsi="仿宋" w:cs="仿宋"/>
                <w:kern w:val="0"/>
                <w:szCs w:val="32"/>
                <w:lang w:val="en-US" w:eastAsia="zh-CN"/>
              </w:rPr>
              <w:t xml:space="preserve">10 </w:t>
            </w:r>
            <w:r>
              <w:rPr>
                <w:rFonts w:ascii="仿宋_GB2312" w:hAnsi="仿宋" w:cs="仿宋"/>
                <w:kern w:val="0"/>
                <w:szCs w:val="32"/>
              </w:rPr>
              <w:t>万元整。</w:t>
            </w:r>
          </w:p>
        </w:tc>
      </w:tr>
      <w:tr>
        <w:tblPrEx>
          <w:tblCellMar>
            <w:top w:w="0" w:type="dxa"/>
            <w:left w:w="108" w:type="dxa"/>
            <w:bottom w:w="0" w:type="dxa"/>
            <w:right w:w="108" w:type="dxa"/>
          </w:tblCellMar>
        </w:tblPrEx>
        <w:trPr>
          <w:trHeight w:val="1962"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jc w:val="center"/>
              <w:textAlignment w:val="baseline"/>
              <w:rPr>
                <w:rFonts w:hint="default" w:ascii="仿宋_GB2312" w:hAnsi="仿宋" w:cs="仿宋"/>
                <w:kern w:val="0"/>
                <w:szCs w:val="32"/>
              </w:rPr>
            </w:pPr>
            <w:r>
              <w:rPr>
                <w:rFonts w:ascii="仿宋_GB2312" w:hAnsi="仿宋" w:cs="仿宋"/>
                <w:kern w:val="0"/>
                <w:szCs w:val="32"/>
              </w:rPr>
              <w:t>14</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开标程序</w:t>
            </w:r>
          </w:p>
        </w:tc>
        <w:tc>
          <w:tcPr>
            <w:tcW w:w="609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（1）密封情况检查：投标人代表、监督人共同检查，并当众宣布密封情况。</w:t>
            </w:r>
          </w:p>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（2）开标顺序：投标人递交文件的顺序逆序开标（先递交的后开，后递交的先开）</w:t>
            </w:r>
          </w:p>
          <w:p>
            <w:pPr>
              <w:adjustRightInd w:val="0"/>
              <w:spacing w:line="360" w:lineRule="auto"/>
              <w:contextualSpacing/>
              <w:textAlignment w:val="baseline"/>
              <w:rPr>
                <w:rFonts w:hint="default" w:ascii="仿宋_GB2312" w:hAnsi="仿宋" w:cs="仿宋"/>
                <w:kern w:val="0"/>
                <w:szCs w:val="32"/>
              </w:rPr>
            </w:pPr>
            <w:r>
              <w:rPr>
                <w:rFonts w:ascii="仿宋_GB2312" w:hAnsi="仿宋" w:cs="仿宋"/>
                <w:kern w:val="0"/>
                <w:szCs w:val="32"/>
              </w:rPr>
              <w:t>（3）进入评标程序</w:t>
            </w:r>
          </w:p>
        </w:tc>
      </w:tr>
    </w:tbl>
    <w:p>
      <w:pPr>
        <w:adjustRightInd w:val="0"/>
        <w:spacing w:line="360" w:lineRule="auto"/>
        <w:contextualSpacing/>
        <w:textAlignment w:val="baseline"/>
        <w:rPr>
          <w:rFonts w:hint="default" w:ascii="仿宋_GB2312" w:hAnsi="仿宋" w:cs="仿宋"/>
          <w:szCs w:val="32"/>
        </w:rPr>
        <w:sectPr>
          <w:footerReference r:id="rId9" w:type="first"/>
          <w:footerReference r:id="rId8" w:type="default"/>
          <w:pgSz w:w="11907" w:h="16840"/>
          <w:pgMar w:top="1440" w:right="1080" w:bottom="1440" w:left="1080" w:header="851" w:footer="992" w:gutter="0"/>
          <w:pgNumType w:fmt="numberInDash" w:start="1"/>
          <w:cols w:space="720" w:num="1"/>
          <w:docGrid w:type="linesAndChars" w:linePitch="435" w:charSpace="0"/>
        </w:sectPr>
      </w:pPr>
    </w:p>
    <w:p>
      <w:pPr>
        <w:pStyle w:val="2"/>
        <w:spacing w:before="0" w:after="0" w:line="360" w:lineRule="auto"/>
        <w:contextualSpacing/>
        <w:jc w:val="center"/>
        <w:rPr>
          <w:rFonts w:ascii="仿宋_GB2312" w:hAnsi="仿宋" w:eastAsia="仿宋_GB2312" w:cs="仿宋"/>
          <w:sz w:val="32"/>
          <w:szCs w:val="32"/>
        </w:rPr>
      </w:pPr>
      <w:bookmarkStart w:id="20" w:name="_Toc16348"/>
      <w:bookmarkStart w:id="21" w:name="_Toc12520077"/>
      <w:bookmarkStart w:id="22" w:name="_Toc28793"/>
      <w:r>
        <w:rPr>
          <w:rFonts w:hint="eastAsia" w:ascii="仿宋_GB2312" w:hAnsi="仿宋" w:eastAsia="仿宋_GB2312" w:cs="仿宋"/>
          <w:sz w:val="32"/>
          <w:szCs w:val="32"/>
        </w:rPr>
        <w:t>第二章 网络安全等级保护测评服务项目招标书</w:t>
      </w:r>
      <w:bookmarkEnd w:id="20"/>
      <w:bookmarkEnd w:id="21"/>
      <w:bookmarkEnd w:id="22"/>
    </w:p>
    <w:p>
      <w:pPr>
        <w:pStyle w:val="3"/>
        <w:spacing w:before="0" w:after="0" w:line="360" w:lineRule="auto"/>
        <w:contextualSpacing/>
        <w:rPr>
          <w:rFonts w:ascii="仿宋_GB2312" w:hAnsi="仿宋" w:eastAsia="仿宋_GB2312" w:cs="仿宋"/>
          <w:b w:val="0"/>
          <w:szCs w:val="32"/>
        </w:rPr>
      </w:pPr>
      <w:bookmarkStart w:id="23" w:name="_Toc19152"/>
      <w:bookmarkStart w:id="24" w:name="_Toc448907449"/>
      <w:bookmarkStart w:id="25" w:name="_Toc12369"/>
      <w:bookmarkStart w:id="26" w:name="_Toc12520078"/>
      <w:bookmarkStart w:id="27" w:name="_Toc440205460"/>
      <w:bookmarkStart w:id="28" w:name="_Toc440201652"/>
      <w:r>
        <w:rPr>
          <w:rFonts w:hint="eastAsia" w:ascii="仿宋_GB2312" w:hAnsi="仿宋" w:eastAsia="仿宋_GB2312" w:cs="仿宋"/>
          <w:b w:val="0"/>
          <w:szCs w:val="32"/>
        </w:rPr>
        <w:t>一、投标文件的组成</w:t>
      </w:r>
      <w:bookmarkEnd w:id="23"/>
      <w:bookmarkEnd w:id="24"/>
      <w:bookmarkEnd w:id="25"/>
      <w:bookmarkEnd w:id="26"/>
    </w:p>
    <w:p>
      <w:pPr>
        <w:spacing w:line="360" w:lineRule="auto"/>
        <w:ind w:firstLine="960" w:firstLineChars="300"/>
        <w:contextualSpacing/>
        <w:jc w:val="left"/>
        <w:rPr>
          <w:rFonts w:hint="default" w:ascii="仿宋_GB2312" w:hAnsi="仿宋" w:cs="仿宋"/>
          <w:szCs w:val="32"/>
        </w:rPr>
      </w:pPr>
      <w:r>
        <w:rPr>
          <w:rFonts w:ascii="仿宋_GB2312" w:hAnsi="仿宋" w:cs="仿宋"/>
          <w:szCs w:val="32"/>
        </w:rPr>
        <w:t>投标文件应包括下列内容：</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 xml:space="preserve">投标函（附件1）；投标承诺书（附件2）； </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投标人资格声明（附件4）、企业法人营业执照（带复印件）、税务登记证、组织机构代码证</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如投标人不是法定代表，需持有法定代表人授权委托书（附件3）；</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投标报价表（附件5）；</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网络安全等级保护测评技术方案；售后服务说明；</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 xml:space="preserve">企业简介； </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销售业绩证明材料</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近三年经济行为受到起诉情况；</w:t>
      </w:r>
    </w:p>
    <w:p>
      <w:pPr>
        <w:pStyle w:val="19"/>
        <w:numPr>
          <w:ilvl w:val="0"/>
          <w:numId w:val="2"/>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其它资料。</w:t>
      </w:r>
    </w:p>
    <w:bookmarkEnd w:id="27"/>
    <w:bookmarkEnd w:id="28"/>
    <w:p>
      <w:pPr>
        <w:pStyle w:val="3"/>
        <w:spacing w:before="0" w:after="0" w:line="360" w:lineRule="auto"/>
        <w:contextualSpacing/>
        <w:rPr>
          <w:rFonts w:ascii="仿宋_GB2312" w:hAnsi="仿宋" w:eastAsia="仿宋_GB2312" w:cs="仿宋"/>
          <w:b w:val="0"/>
          <w:szCs w:val="32"/>
        </w:rPr>
      </w:pPr>
      <w:bookmarkStart w:id="29" w:name="_Toc440205461"/>
      <w:bookmarkStart w:id="30" w:name="_Toc440201653"/>
      <w:bookmarkStart w:id="31" w:name="_Toc12520079"/>
      <w:bookmarkStart w:id="32" w:name="_Toc12728"/>
      <w:bookmarkStart w:id="33" w:name="_Toc13455"/>
      <w:r>
        <w:rPr>
          <w:rFonts w:hint="eastAsia" w:ascii="仿宋_GB2312" w:hAnsi="仿宋" w:eastAsia="仿宋_GB2312" w:cs="仿宋"/>
          <w:b w:val="0"/>
          <w:szCs w:val="32"/>
        </w:rPr>
        <w:t>二、投标</w:t>
      </w:r>
      <w:bookmarkEnd w:id="29"/>
      <w:bookmarkEnd w:id="30"/>
      <w:r>
        <w:rPr>
          <w:rFonts w:hint="eastAsia" w:ascii="仿宋_GB2312" w:hAnsi="仿宋" w:eastAsia="仿宋_GB2312" w:cs="仿宋"/>
          <w:b w:val="0"/>
          <w:szCs w:val="32"/>
        </w:rPr>
        <w:t>文件要求</w:t>
      </w:r>
      <w:bookmarkEnd w:id="31"/>
      <w:bookmarkEnd w:id="32"/>
      <w:bookmarkEnd w:id="33"/>
    </w:p>
    <w:p>
      <w:pPr>
        <w:pStyle w:val="19"/>
        <w:numPr>
          <w:ilvl w:val="0"/>
          <w:numId w:val="3"/>
        </w:numPr>
        <w:autoSpaceDN w:val="0"/>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投标文件的签署及份数规定</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组成投标文件的各项资料均应遵守本条规定。</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投标人应填写全称，同时加盖印章。</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投标文件必须由法人代表或其授权代表签署。</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投标文件一式贰份。其中正本壹份，副本壹份。如果正本与副本不符，以正本为准。</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投标文件必须用不褪色的墨水书写或打印，页底中间必须注明连续的页码编号。</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投标文件不得涂改和增删，如有错漏处修改，必须由同一签署人签字或盖章。</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投标文件因字迹潦草，或表达不清，或不正确书写所引起的后果由报价人负责。</w:t>
      </w:r>
    </w:p>
    <w:p>
      <w:pPr>
        <w:pStyle w:val="19"/>
        <w:numPr>
          <w:ilvl w:val="0"/>
          <w:numId w:val="4"/>
        </w:numPr>
        <w:tabs>
          <w:tab w:val="left" w:pos="900"/>
        </w:tabs>
        <w:autoSpaceDN w:val="0"/>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投标文件必须用公章加盖骑缝章，每一页均有红印，不应存在漏页情况，招标文件展开应该能够将骑缝章还原成原章，报价表应由投标人代表签名并加盖公章。</w:t>
      </w:r>
    </w:p>
    <w:p>
      <w:pPr>
        <w:pStyle w:val="7"/>
        <w:numPr>
          <w:ilvl w:val="0"/>
          <w:numId w:val="3"/>
        </w:numPr>
        <w:spacing w:after="0" w:line="360" w:lineRule="auto"/>
        <w:ind w:leftChars="0"/>
        <w:contextualSpacing/>
        <w:rPr>
          <w:rFonts w:hint="default" w:ascii="仿宋_GB2312" w:hAnsi="仿宋" w:cs="仿宋"/>
          <w:szCs w:val="32"/>
        </w:rPr>
      </w:pPr>
      <w:r>
        <w:rPr>
          <w:rFonts w:ascii="仿宋_GB2312" w:hAnsi="仿宋" w:cs="仿宋"/>
          <w:szCs w:val="32"/>
        </w:rPr>
        <w:t>投标文件的密封和标记</w:t>
      </w:r>
    </w:p>
    <w:p>
      <w:pPr>
        <w:pStyle w:val="19"/>
        <w:numPr>
          <w:ilvl w:val="0"/>
          <w:numId w:val="5"/>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密封件之一：投标人应将装订好的投标文件正本（投标文件封面应写明“正本”字样）封装在包装袋内（包装封面应标明“投标文件正本”字样）。</w:t>
      </w:r>
    </w:p>
    <w:p>
      <w:pPr>
        <w:pStyle w:val="19"/>
        <w:numPr>
          <w:ilvl w:val="0"/>
          <w:numId w:val="5"/>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密封件之二：投标人应将所有的投标文件副本（投标文件封面应写明“副本”字样）封装在一个包装袋内。</w:t>
      </w:r>
    </w:p>
    <w:p>
      <w:pPr>
        <w:pStyle w:val="19"/>
        <w:numPr>
          <w:ilvl w:val="0"/>
          <w:numId w:val="5"/>
        </w:numPr>
        <w:spacing w:line="360" w:lineRule="auto"/>
        <w:ind w:firstLineChars="0"/>
        <w:contextualSpacing/>
        <w:jc w:val="left"/>
        <w:rPr>
          <w:rFonts w:ascii="仿宋_GB2312" w:hAnsi="仿宋" w:eastAsia="仿宋_GB2312" w:cs="仿宋"/>
          <w:sz w:val="32"/>
          <w:szCs w:val="32"/>
        </w:rPr>
      </w:pPr>
      <w:r>
        <w:rPr>
          <w:rFonts w:hint="eastAsia" w:ascii="仿宋_GB2312" w:hAnsi="仿宋" w:eastAsia="仿宋_GB2312" w:cs="仿宋"/>
          <w:sz w:val="32"/>
          <w:szCs w:val="32"/>
        </w:rPr>
        <w:t>上述二个密封件均应按投标人须知规定注明封套，并密封完好。未按以上要求密封和加写标记的投标文件，招标人不予受理。</w:t>
      </w:r>
    </w:p>
    <w:p>
      <w:pPr>
        <w:pStyle w:val="12"/>
        <w:numPr>
          <w:ilvl w:val="0"/>
          <w:numId w:val="3"/>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无效报价</w:t>
      </w:r>
    </w:p>
    <w:p>
      <w:pPr>
        <w:pStyle w:val="12"/>
        <w:autoSpaceDN w:val="0"/>
        <w:spacing w:before="0" w:beforeAutospacing="0" w:after="0" w:afterAutospacing="0" w:line="360" w:lineRule="auto"/>
        <w:ind w:firstLine="640" w:firstLineChars="200"/>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发生下列情况之一者，视为无效报价。</w:t>
      </w:r>
    </w:p>
    <w:p>
      <w:pPr>
        <w:pStyle w:val="12"/>
        <w:numPr>
          <w:ilvl w:val="0"/>
          <w:numId w:val="6"/>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投标文件未按本招标文件的规定密封或投标文件未按规定加盖公章和签字。</w:t>
      </w:r>
    </w:p>
    <w:p>
      <w:pPr>
        <w:pStyle w:val="12"/>
        <w:numPr>
          <w:ilvl w:val="0"/>
          <w:numId w:val="6"/>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投标文件未按本招标文件的规定格式、内容填写或投标文件内容与招标文件有严重背离。</w:t>
      </w:r>
    </w:p>
    <w:p>
      <w:pPr>
        <w:pStyle w:val="12"/>
        <w:numPr>
          <w:ilvl w:val="0"/>
          <w:numId w:val="6"/>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在投标文件中有两个以上的报价，且未明确哪个报价有效。</w:t>
      </w:r>
    </w:p>
    <w:p>
      <w:pPr>
        <w:pStyle w:val="12"/>
        <w:numPr>
          <w:ilvl w:val="0"/>
          <w:numId w:val="6"/>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投标文件正本每一页的签字人不为同一法人代表或委托的报价代表人的。</w:t>
      </w:r>
    </w:p>
    <w:p>
      <w:pPr>
        <w:pStyle w:val="12"/>
        <w:numPr>
          <w:ilvl w:val="0"/>
          <w:numId w:val="6"/>
        </w:numPr>
        <w:autoSpaceDN w:val="0"/>
        <w:spacing w:before="0" w:beforeAutospacing="0" w:after="0" w:afterAutospacing="0" w:line="360" w:lineRule="auto"/>
        <w:contextualSpacing/>
        <w:rPr>
          <w:rFonts w:ascii="仿宋_GB2312" w:hAnsi="仿宋" w:eastAsia="仿宋_GB2312" w:cs="仿宋"/>
          <w:kern w:val="2"/>
          <w:sz w:val="32"/>
          <w:szCs w:val="32"/>
        </w:rPr>
      </w:pPr>
      <w:r>
        <w:rPr>
          <w:rFonts w:hint="eastAsia" w:ascii="仿宋_GB2312" w:hAnsi="仿宋" w:eastAsia="仿宋_GB2312" w:cs="仿宋"/>
          <w:kern w:val="2"/>
          <w:sz w:val="32"/>
          <w:szCs w:val="32"/>
        </w:rPr>
        <w:t>其它不符合招标文件要求的报价。</w:t>
      </w:r>
    </w:p>
    <w:p>
      <w:pPr>
        <w:pStyle w:val="3"/>
        <w:spacing w:before="0" w:after="0" w:line="360" w:lineRule="auto"/>
        <w:contextualSpacing/>
        <w:rPr>
          <w:rFonts w:ascii="仿宋_GB2312" w:hAnsi="仿宋" w:eastAsia="仿宋_GB2312" w:cs="仿宋"/>
          <w:b w:val="0"/>
          <w:szCs w:val="32"/>
        </w:rPr>
      </w:pPr>
      <w:bookmarkStart w:id="34" w:name="_Toc12520080"/>
      <w:bookmarkStart w:id="35" w:name="_Toc22509"/>
      <w:bookmarkStart w:id="36" w:name="_Toc440205462"/>
      <w:bookmarkStart w:id="37" w:name="_Toc18085"/>
      <w:bookmarkStart w:id="38" w:name="_Toc440201654"/>
      <w:r>
        <w:rPr>
          <w:rFonts w:hint="eastAsia" w:ascii="仿宋_GB2312" w:hAnsi="仿宋" w:eastAsia="仿宋_GB2312" w:cs="仿宋"/>
          <w:b w:val="0"/>
          <w:szCs w:val="32"/>
        </w:rPr>
        <w:t>三、投标文件的递交</w:t>
      </w:r>
      <w:bookmarkEnd w:id="34"/>
      <w:bookmarkEnd w:id="35"/>
      <w:bookmarkEnd w:id="36"/>
      <w:bookmarkEnd w:id="37"/>
      <w:bookmarkEnd w:id="38"/>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1.投标人应按投标人须知中规定的时间之前递交投标文件。</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2.投标人递交投标文件的地点：见投标人须知</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3.投标人所递交的投标文件不予退还。</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4.逾期送达的或者未送达指定地点的投标文件，招标人不予受理。</w:t>
      </w:r>
    </w:p>
    <w:p>
      <w:pPr>
        <w:pStyle w:val="3"/>
        <w:spacing w:before="0" w:after="0" w:line="360" w:lineRule="auto"/>
        <w:contextualSpacing/>
        <w:rPr>
          <w:rFonts w:ascii="仿宋_GB2312" w:hAnsi="仿宋" w:eastAsia="仿宋_GB2312" w:cs="仿宋"/>
          <w:b w:val="0"/>
          <w:szCs w:val="32"/>
        </w:rPr>
      </w:pPr>
      <w:bookmarkStart w:id="39" w:name="_Toc440205463"/>
      <w:bookmarkStart w:id="40" w:name="_Toc440201655"/>
      <w:bookmarkStart w:id="41" w:name="_Toc12520081"/>
      <w:bookmarkStart w:id="42" w:name="_Toc18462"/>
      <w:bookmarkStart w:id="43" w:name="_Toc11069"/>
      <w:r>
        <w:rPr>
          <w:rFonts w:hint="eastAsia" w:ascii="仿宋_GB2312" w:hAnsi="仿宋" w:eastAsia="仿宋_GB2312" w:cs="仿宋"/>
          <w:b w:val="0"/>
          <w:szCs w:val="32"/>
        </w:rPr>
        <w:t>四、投标文件的修改和撤回</w:t>
      </w:r>
      <w:bookmarkEnd w:id="39"/>
      <w:bookmarkEnd w:id="40"/>
      <w:bookmarkEnd w:id="41"/>
      <w:bookmarkEnd w:id="42"/>
      <w:bookmarkEnd w:id="43"/>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1.在规定的投标截止时间前，投标人可以修改或撤回已递交的投标文件，但应以书面形式通知招标人。</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2.投标人修改或撤回已递交投标文件的书面通知应按照要求签字或盖章并在开标之前递交给投标联系人。</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3.修改的内容为投标文件的组成部分。修改的投标文件应按照投标人须知规定进行编制、密封、标记和递交，并标明“修改”字样。</w:t>
      </w:r>
    </w:p>
    <w:p>
      <w:pPr>
        <w:pStyle w:val="3"/>
        <w:spacing w:before="0" w:after="0" w:line="360" w:lineRule="auto"/>
        <w:contextualSpacing/>
        <w:rPr>
          <w:rFonts w:ascii="仿宋_GB2312" w:hAnsi="仿宋" w:eastAsia="仿宋_GB2312" w:cs="仿宋"/>
          <w:b w:val="0"/>
          <w:szCs w:val="32"/>
        </w:rPr>
      </w:pPr>
      <w:bookmarkStart w:id="44" w:name="_Toc20484"/>
      <w:bookmarkStart w:id="45" w:name="_Toc12520082"/>
      <w:bookmarkStart w:id="46" w:name="_Toc440201656"/>
      <w:bookmarkStart w:id="47" w:name="_Toc27494"/>
      <w:bookmarkStart w:id="48" w:name="_Toc440205464"/>
      <w:r>
        <w:rPr>
          <w:rFonts w:hint="eastAsia" w:ascii="仿宋_GB2312" w:hAnsi="仿宋" w:eastAsia="仿宋_GB2312" w:cs="仿宋"/>
          <w:b w:val="0"/>
          <w:szCs w:val="32"/>
        </w:rPr>
        <w:t>五、开标</w:t>
      </w:r>
      <w:bookmarkEnd w:id="44"/>
      <w:bookmarkEnd w:id="45"/>
      <w:bookmarkEnd w:id="46"/>
      <w:bookmarkEnd w:id="47"/>
      <w:bookmarkEnd w:id="48"/>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招标人在投标人须知中规定的投标截止时间（开标时间）和地点开标。</w:t>
      </w:r>
    </w:p>
    <w:p>
      <w:pPr>
        <w:pStyle w:val="3"/>
        <w:spacing w:before="0" w:after="0" w:line="360" w:lineRule="auto"/>
        <w:contextualSpacing/>
        <w:rPr>
          <w:rFonts w:ascii="仿宋_GB2312" w:hAnsi="仿宋" w:eastAsia="仿宋_GB2312" w:cs="仿宋"/>
          <w:b w:val="0"/>
          <w:szCs w:val="32"/>
        </w:rPr>
      </w:pPr>
      <w:bookmarkStart w:id="49" w:name="_Toc440205465"/>
      <w:bookmarkStart w:id="50" w:name="_Toc12520083"/>
      <w:bookmarkStart w:id="51" w:name="_Toc4391"/>
      <w:bookmarkStart w:id="52" w:name="_Toc440201657"/>
      <w:bookmarkStart w:id="53" w:name="_Toc16574"/>
      <w:r>
        <w:rPr>
          <w:rFonts w:hint="eastAsia" w:ascii="仿宋_GB2312" w:hAnsi="仿宋" w:eastAsia="仿宋_GB2312" w:cs="仿宋"/>
          <w:b w:val="0"/>
          <w:szCs w:val="32"/>
        </w:rPr>
        <w:t>六、开标程序</w:t>
      </w:r>
      <w:bookmarkEnd w:id="49"/>
      <w:bookmarkEnd w:id="50"/>
      <w:bookmarkEnd w:id="51"/>
      <w:bookmarkEnd w:id="52"/>
      <w:bookmarkEnd w:id="53"/>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1.主持人按下列程序进行开标：</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（1）宣布开标纪律；</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（2）宣布开标人、记录人、监标人等有关信息；</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（3）按照投标人须知规定检查投标文件的密封情况；</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（4）按照投标人须知附表的规定确定并宣布投标文件开标顺序；</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（5）按照投标签到顺序进行开标，公布投标人名称、投标报价及其他内容，并记录在案；</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（6）招标人代表、监标人、记录人等有关人员在开标记录上签字确认；</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（7）开标结束。</w:t>
      </w:r>
    </w:p>
    <w:p>
      <w:pPr>
        <w:pStyle w:val="3"/>
        <w:spacing w:before="0" w:after="0" w:line="360" w:lineRule="auto"/>
        <w:contextualSpacing/>
        <w:rPr>
          <w:rFonts w:ascii="仿宋_GB2312" w:hAnsi="仿宋" w:eastAsia="仿宋_GB2312" w:cs="仿宋"/>
          <w:b w:val="0"/>
          <w:szCs w:val="32"/>
        </w:rPr>
      </w:pPr>
      <w:bookmarkStart w:id="54" w:name="_Toc440205466"/>
      <w:bookmarkStart w:id="55" w:name="_Toc440201658"/>
      <w:bookmarkStart w:id="56" w:name="_Toc24524"/>
      <w:bookmarkStart w:id="57" w:name="_Toc12520084"/>
      <w:bookmarkStart w:id="58" w:name="_Toc7429"/>
      <w:r>
        <w:rPr>
          <w:rFonts w:hint="eastAsia" w:ascii="仿宋_GB2312" w:hAnsi="仿宋" w:eastAsia="仿宋_GB2312" w:cs="仿宋"/>
          <w:b w:val="0"/>
          <w:szCs w:val="32"/>
        </w:rPr>
        <w:t>七、评标</w:t>
      </w:r>
      <w:bookmarkEnd w:id="54"/>
      <w:bookmarkEnd w:id="55"/>
      <w:bookmarkEnd w:id="56"/>
      <w:bookmarkEnd w:id="57"/>
      <w:bookmarkEnd w:id="58"/>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1.评标委员会</w:t>
      </w:r>
    </w:p>
    <w:p>
      <w:pPr>
        <w:spacing w:line="360" w:lineRule="auto"/>
        <w:ind w:left="281" w:leftChars="88" w:firstLine="320" w:firstLineChars="100"/>
        <w:contextualSpacing/>
        <w:jc w:val="left"/>
        <w:rPr>
          <w:rFonts w:hint="default" w:ascii="仿宋_GB2312" w:hAnsi="仿宋" w:cs="仿宋"/>
          <w:szCs w:val="32"/>
        </w:rPr>
      </w:pPr>
      <w:r>
        <w:rPr>
          <w:rFonts w:ascii="仿宋_GB2312" w:hAnsi="仿宋" w:cs="仿宋"/>
          <w:szCs w:val="32"/>
        </w:rPr>
        <w:t>评标由招标人组建的评标委员会负责。评标委员会由招标人组织相关负责人组成。</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2.评标委员会成员有下列情形之一的，应当回避：</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（1）招标人或投标人的主要人员的近亲属；</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（2）公司主管部门或者行政监督部门的人员；</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（3）与投标人有经济利益关系，可能影响对投标公正评审的；</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（4）曾因在招标、评标以及其他与招标投标有关活动中从事违法行为而受过行政处罚或刑事处罚的。</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3.评标原则</w:t>
      </w:r>
      <w:r>
        <w:rPr>
          <w:rFonts w:ascii="仿宋_GB2312" w:hAnsi="仿宋" w:cs="仿宋"/>
          <w:szCs w:val="32"/>
        </w:rPr>
        <w:tab/>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评标活动遵循公平、公正、科学和择优的原则，严格按照评标办法进行评审。公开开标后，由项目招标小组对投标人的公司实力、技术和服务水平、项目方案、项目报价、相关实施经验等进行综合评分（评分标准详见附表7综合评分表）。综合评分最高者为中标单位。</w:t>
      </w:r>
      <w:bookmarkStart w:id="59" w:name="_Toc440201659"/>
      <w:bookmarkStart w:id="60" w:name="_Toc440205467"/>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（2）公开开标后直到宣布授予中标人合同为止，参加评标人员不得向投标人或与该过程有关的其他人泄露评标情况。</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（3）评标过程中，评标小组可以要求投标人对投标文件含义不明确的内容作必要的澄清或说明，但是澄清或说明不得超出投标文件范围和改变投标文件的实质性内容。</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（4）投标人在投标的审查、澄清、评价和比较以及授予合同的过程中，对招标小组成员施加影响的任何行为，都将导致取消其中标资格。</w:t>
      </w:r>
    </w:p>
    <w:p>
      <w:pPr>
        <w:tabs>
          <w:tab w:val="left" w:pos="360"/>
          <w:tab w:val="left" w:pos="735"/>
        </w:tabs>
        <w:spacing w:line="360" w:lineRule="auto"/>
        <w:ind w:firstLine="640" w:firstLineChars="200"/>
        <w:contextualSpacing/>
        <w:rPr>
          <w:rFonts w:hint="default" w:ascii="仿宋_GB2312" w:hAnsi="仿宋" w:cs="仿宋"/>
          <w:szCs w:val="32"/>
        </w:rPr>
      </w:pPr>
      <w:r>
        <w:rPr>
          <w:rFonts w:ascii="仿宋_GB2312" w:hAnsi="仿宋" w:cs="仿宋"/>
          <w:szCs w:val="32"/>
        </w:rPr>
        <w:t>（5）各投标人应尊重招标小组做出的最后选择，不得在投标结束后以任何方式做出妨碍招标方工作、损害招标方利益的行为；否则，招标方有权依法追究其责任，给招标方造成损失的应予以赔偿，并在今后的项目建设中将不再考虑与该投标方进行合作。</w:t>
      </w:r>
    </w:p>
    <w:p>
      <w:pPr>
        <w:spacing w:line="360" w:lineRule="auto"/>
        <w:ind w:firstLine="640" w:firstLineChars="200"/>
        <w:contextualSpacing/>
        <w:rPr>
          <w:rFonts w:hint="default" w:ascii="仿宋_GB2312" w:hAnsi="仿宋" w:cs="仿宋"/>
          <w:szCs w:val="32"/>
        </w:rPr>
      </w:pPr>
      <w:r>
        <w:rPr>
          <w:rFonts w:ascii="仿宋_GB2312" w:hAnsi="仿宋" w:cs="仿宋"/>
          <w:szCs w:val="32"/>
        </w:rPr>
        <w:t>（6）招标人确定排名第一的中标候选人为中标人。排名第一的中标候选人放弃中标、因不可抗力提出不能履行合同、或者被查实存在影响中标结果的违法行为等情形，不符合中标条件的，招标人可以按照评标委员会提出的中标候选人名单排序依次确定其他中标候选人为中标人。招标人（法人或法人委托代理人）和中标人应当自中标通知书发出之日起30天内，根据招标文件和中标人的投标文件订立书面合同。</w:t>
      </w:r>
    </w:p>
    <w:p>
      <w:pPr>
        <w:pStyle w:val="3"/>
        <w:spacing w:before="0" w:after="0" w:line="360" w:lineRule="auto"/>
        <w:contextualSpacing/>
        <w:rPr>
          <w:rFonts w:ascii="仿宋_GB2312" w:hAnsi="仿宋" w:eastAsia="仿宋_GB2312" w:cs="仿宋"/>
          <w:b w:val="0"/>
          <w:szCs w:val="32"/>
        </w:rPr>
      </w:pPr>
      <w:bookmarkStart w:id="61" w:name="_Toc15929"/>
      <w:bookmarkStart w:id="62" w:name="_Toc17306"/>
      <w:bookmarkStart w:id="63" w:name="_Toc12520085"/>
      <w:r>
        <w:rPr>
          <w:rFonts w:hint="eastAsia" w:ascii="仿宋_GB2312" w:hAnsi="仿宋" w:eastAsia="仿宋_GB2312" w:cs="仿宋"/>
          <w:b w:val="0"/>
          <w:szCs w:val="32"/>
        </w:rPr>
        <w:t>八、废标处理条件：</w:t>
      </w:r>
      <w:bookmarkEnd w:id="61"/>
      <w:bookmarkEnd w:id="62"/>
      <w:bookmarkEnd w:id="63"/>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串通投标或弄虚作假或有其他违法行为的。</w:t>
      </w:r>
    </w:p>
    <w:p>
      <w:pPr>
        <w:spacing w:line="360" w:lineRule="auto"/>
        <w:contextualSpacing/>
        <w:rPr>
          <w:rFonts w:hint="default" w:ascii="仿宋_GB2312"/>
          <w:szCs w:val="32"/>
        </w:rPr>
      </w:pPr>
      <w:r>
        <w:rPr>
          <w:rFonts w:ascii="仿宋_GB2312"/>
          <w:szCs w:val="32"/>
        </w:rPr>
        <w:t>串通投标行为是指：</w:t>
      </w:r>
    </w:p>
    <w:p>
      <w:pPr>
        <w:spacing w:line="360" w:lineRule="auto"/>
        <w:contextualSpacing/>
        <w:rPr>
          <w:rFonts w:hint="default" w:ascii="仿宋_GB2312"/>
          <w:szCs w:val="32"/>
        </w:rPr>
      </w:pPr>
      <w:r>
        <w:rPr>
          <w:rFonts w:ascii="仿宋_GB2312"/>
          <w:szCs w:val="32"/>
        </w:rPr>
        <w:t>（a）不同供应商委托同一人投标；</w:t>
      </w:r>
    </w:p>
    <w:p>
      <w:pPr>
        <w:spacing w:line="360" w:lineRule="auto"/>
        <w:contextualSpacing/>
        <w:rPr>
          <w:rFonts w:hint="default" w:ascii="仿宋_GB2312"/>
          <w:szCs w:val="32"/>
        </w:rPr>
      </w:pPr>
      <w:r>
        <w:rPr>
          <w:rFonts w:ascii="仿宋_GB2312"/>
          <w:szCs w:val="32"/>
        </w:rPr>
        <w:t>（b）不同供应商的投标文件载明的项目管理班子成员出现同一人的；</w:t>
      </w:r>
    </w:p>
    <w:p>
      <w:pPr>
        <w:spacing w:line="360" w:lineRule="auto"/>
        <w:contextualSpacing/>
        <w:rPr>
          <w:rFonts w:hint="default" w:ascii="仿宋_GB2312"/>
          <w:szCs w:val="32"/>
        </w:rPr>
      </w:pPr>
      <w:r>
        <w:rPr>
          <w:rFonts w:ascii="仿宋_GB2312"/>
          <w:szCs w:val="32"/>
        </w:rPr>
        <w:t>（c）不同供应商的投标文件相互混装的；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逾期送达的投标文件；</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投标文件有关内容未按规定加盖供应商印章或未经法定代表人（负责人）或其委托代理人签字或盖章的；由委托代理人签字或盖章的，但未随投标文件一起提交有效的“授权委托书”原件的；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投标文件份数、装订、密封和标记不符合招标文件要求的；投标文件未胶装的。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供应商递交两份或多份内容不同的投标文件；或在一份投标文件中对同一招标项目报有两个或多个报价的，且未书面声明以哪个报价为准。</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被合肥市招投标监督管理部门或行业主管部门取消投标资格并在处罚期内的；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不按招标小组要求澄清、说明或补正的。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 xml:space="preserve"> 投标文件中的报价单及其它内容相应位置处没有签字、盖章的。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投标文件中投标报价或其它实质性要求不能满足招标文件要求,或作出的承诺与招标文件中提供的投标函样本中相关内容相抵触或有遗漏的。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未按规定的格式填写，实质性内容不全或关键字迹模糊、无法辨认的。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投标文件对采购人提供的需求清单单项无报价或零报价的。</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投标文件中存在采购人不能接受的其它实质性条件。</w:t>
      </w:r>
    </w:p>
    <w:p>
      <w:pPr>
        <w:pStyle w:val="19"/>
        <w:numPr>
          <w:ilvl w:val="0"/>
          <w:numId w:val="7"/>
        </w:numPr>
        <w:spacing w:line="360" w:lineRule="auto"/>
        <w:ind w:firstLineChars="0"/>
        <w:contextualSpacing/>
        <w:rPr>
          <w:rFonts w:ascii="仿宋_GB2312" w:eastAsia="仿宋_GB2312"/>
          <w:sz w:val="32"/>
          <w:szCs w:val="32"/>
        </w:rPr>
      </w:pPr>
      <w:r>
        <w:rPr>
          <w:rFonts w:hint="eastAsia" w:ascii="仿宋_GB2312" w:eastAsia="仿宋_GB2312"/>
          <w:sz w:val="32"/>
          <w:szCs w:val="32"/>
        </w:rPr>
        <w:t>法律、法规规定的其它情形。</w:t>
      </w:r>
    </w:p>
    <w:p>
      <w:pPr>
        <w:pStyle w:val="3"/>
        <w:spacing w:before="0" w:after="0" w:line="360" w:lineRule="auto"/>
        <w:contextualSpacing/>
        <w:rPr>
          <w:rFonts w:ascii="仿宋_GB2312" w:hAnsi="仿宋" w:eastAsia="仿宋_GB2312" w:cs="仿宋"/>
          <w:b w:val="0"/>
          <w:szCs w:val="32"/>
        </w:rPr>
      </w:pPr>
      <w:bookmarkStart w:id="64" w:name="_Toc22330"/>
      <w:bookmarkStart w:id="65" w:name="_Toc12520086"/>
      <w:bookmarkStart w:id="66" w:name="_Toc6055"/>
      <w:r>
        <w:rPr>
          <w:rFonts w:hint="eastAsia" w:ascii="仿宋_GB2312" w:hAnsi="仿宋" w:eastAsia="仿宋_GB2312" w:cs="仿宋"/>
          <w:b w:val="0"/>
          <w:szCs w:val="32"/>
        </w:rPr>
        <w:t>十、纪律和监督</w:t>
      </w:r>
      <w:bookmarkEnd w:id="59"/>
      <w:bookmarkEnd w:id="60"/>
      <w:bookmarkEnd w:id="64"/>
      <w:bookmarkEnd w:id="65"/>
      <w:bookmarkEnd w:id="66"/>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1.对招标人的纪律要求:招标人不得泄漏招标投标活动中应当保密的情况和资料，不得与投标人串通损害国家利益、社会公共利益或者他人法权益。</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2.对投标人的纪律要求:投标人不得相互串通投标或者与招标人串通投标，不得向招标人或者评标委员会成员行贿谋取中标，不得以他人名义响评标工作。</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3.对评标委员会成员的纪律要求: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4.对与评标活动有关的工作人员的纪律要求: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640" w:firstLineChars="200"/>
        <w:contextualSpacing/>
        <w:jc w:val="left"/>
        <w:rPr>
          <w:rFonts w:hint="default" w:ascii="仿宋_GB2312" w:hAnsi="仿宋" w:cs="仿宋"/>
          <w:szCs w:val="32"/>
        </w:rPr>
        <w:sectPr>
          <w:footerReference r:id="rId10" w:type="default"/>
          <w:pgSz w:w="11907" w:h="16840"/>
          <w:pgMar w:top="1440" w:right="1080" w:bottom="1440" w:left="1080" w:header="851" w:footer="992" w:gutter="0"/>
          <w:pgNumType w:fmt="numberInDash"/>
          <w:cols w:space="720" w:num="1"/>
          <w:titlePg/>
          <w:docGrid w:type="linesAndChars" w:linePitch="435" w:charSpace="0"/>
        </w:sectPr>
      </w:pPr>
      <w:r>
        <w:rPr>
          <w:rFonts w:ascii="仿宋_GB2312" w:hAnsi="仿宋" w:cs="仿宋"/>
          <w:szCs w:val="32"/>
        </w:rPr>
        <w:t>5、投诉投标人和其他利害关系人认为本次招标活动违反法律、法规和规章规定的，有权向有关行政监督部门投诉。</w:t>
      </w:r>
      <w:bookmarkStart w:id="67" w:name="_Toc440201660"/>
      <w:bookmarkStart w:id="68" w:name="_Toc440205468"/>
    </w:p>
    <w:p>
      <w:pPr>
        <w:pStyle w:val="2"/>
        <w:spacing w:before="0" w:after="0" w:line="360" w:lineRule="auto"/>
        <w:contextualSpacing/>
        <w:jc w:val="center"/>
        <w:rPr>
          <w:rFonts w:ascii="仿宋_GB2312" w:hAnsi="仿宋" w:eastAsia="仿宋_GB2312" w:cs="仿宋"/>
          <w:sz w:val="32"/>
          <w:szCs w:val="32"/>
        </w:rPr>
      </w:pPr>
      <w:bookmarkStart w:id="69" w:name="_Toc6512"/>
      <w:bookmarkStart w:id="70" w:name="_Toc12520087"/>
      <w:bookmarkStart w:id="71" w:name="_Toc29162"/>
      <w:r>
        <w:rPr>
          <w:rFonts w:hint="eastAsia" w:ascii="仿宋_GB2312" w:hAnsi="仿宋" w:eastAsia="仿宋_GB2312" w:cs="仿宋"/>
          <w:sz w:val="32"/>
          <w:szCs w:val="32"/>
        </w:rPr>
        <w:t>第三章 评分细则</w:t>
      </w:r>
      <w:bookmarkEnd w:id="69"/>
      <w:bookmarkEnd w:id="70"/>
      <w:bookmarkEnd w:id="71"/>
    </w:p>
    <w:p>
      <w:pPr>
        <w:rPr>
          <w:rFonts w:hint="eastAsia" w:ascii="宋体" w:hAnsi="宋体"/>
          <w:sz w:val="24"/>
          <w:szCs w:val="24"/>
          <w:lang w:val="en-US" w:eastAsia="zh-CN"/>
        </w:rPr>
      </w:pPr>
      <w:r>
        <w:rPr>
          <w:rFonts w:hint="eastAsia" w:ascii="宋体" w:hAnsi="宋体"/>
          <w:sz w:val="24"/>
          <w:szCs w:val="24"/>
        </w:rPr>
        <w:t>基于本项目在网络安全方面的深层次需求，对本项目定标采取综合评分法（</w:t>
      </w:r>
      <w:r>
        <w:rPr>
          <w:rFonts w:hint="eastAsia" w:ascii="宋体" w:hAnsi="宋体"/>
          <w:sz w:val="24"/>
          <w:szCs w:val="24"/>
          <w:lang w:val="en-US" w:eastAsia="zh-CN"/>
        </w:rPr>
        <w:t>资信技术分80分，价格分20分</w:t>
      </w:r>
      <w:r>
        <w:rPr>
          <w:rFonts w:hint="eastAsia" w:ascii="宋体" w:hAnsi="宋体"/>
          <w:sz w:val="24"/>
          <w:szCs w:val="24"/>
        </w:rPr>
        <w:t>），具体评分要求如下：</w:t>
      </w:r>
    </w:p>
    <w:p>
      <w:pPr>
        <w:rPr>
          <w:rFonts w:hint="eastAsia" w:ascii="宋体" w:hAnsi="宋体"/>
          <w:sz w:val="24"/>
          <w:szCs w:val="24"/>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8"/>
        <w:gridCol w:w="438"/>
        <w:gridCol w:w="675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6" w:hRule="atLeast"/>
        </w:trPr>
        <w:tc>
          <w:tcPr>
            <w:tcW w:w="498" w:type="dxa"/>
            <w:tcBorders>
              <w:bottom w:val="single" w:color="auto" w:sz="4" w:space="0"/>
            </w:tcBorders>
            <w:shd w:val="clear" w:color="auto" w:fill="FFFFFF"/>
            <w:noWrap w:val="0"/>
            <w:vAlign w:val="center"/>
          </w:tcPr>
          <w:p>
            <w:pPr>
              <w:rPr>
                <w:rFonts w:hint="default" w:ascii="宋体" w:hAnsi="宋体"/>
                <w:sz w:val="24"/>
                <w:szCs w:val="24"/>
                <w:lang w:val="en-US" w:eastAsia="zh-CN"/>
              </w:rPr>
            </w:pPr>
            <w:r>
              <w:rPr>
                <w:rFonts w:hint="eastAsia" w:ascii="宋体" w:hAnsi="宋体"/>
                <w:sz w:val="24"/>
                <w:szCs w:val="24"/>
                <w:lang w:val="en-US" w:eastAsia="zh-CN"/>
              </w:rPr>
              <w:t>类别</w:t>
            </w:r>
          </w:p>
        </w:tc>
        <w:tc>
          <w:tcPr>
            <w:tcW w:w="4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分项</w:t>
            </w:r>
          </w:p>
        </w:tc>
        <w:tc>
          <w:tcPr>
            <w:tcW w:w="6756" w:type="dxa"/>
            <w:shd w:val="clear" w:color="auto" w:fill="FFFFFF"/>
            <w:noWrap w:val="0"/>
            <w:vAlign w:val="center"/>
          </w:tcPr>
          <w:p>
            <w:pPr>
              <w:rPr>
                <w:rFonts w:hint="default" w:ascii="宋体" w:hAnsi="宋体"/>
                <w:sz w:val="24"/>
                <w:szCs w:val="24"/>
                <w:lang w:val="en-US" w:eastAsia="zh-CN"/>
              </w:rPr>
            </w:pPr>
            <w:r>
              <w:rPr>
                <w:rFonts w:hint="eastAsia" w:ascii="宋体" w:hAnsi="宋体"/>
                <w:sz w:val="24"/>
                <w:szCs w:val="24"/>
                <w:lang w:val="en-US" w:eastAsia="zh-CN"/>
              </w:rPr>
              <w:t>评分细则</w:t>
            </w:r>
          </w:p>
        </w:tc>
        <w:tc>
          <w:tcPr>
            <w:tcW w:w="11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83" w:hRule="atLeast"/>
        </w:trPr>
        <w:tc>
          <w:tcPr>
            <w:tcW w:w="498" w:type="dxa"/>
            <w:vMerge w:val="restart"/>
            <w:tcBorders>
              <w:top w:val="single" w:color="auto" w:sz="4" w:space="0"/>
              <w:bottom w:val="single" w:color="auto" w:sz="4" w:space="0"/>
            </w:tcBorders>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资</w:t>
            </w:r>
          </w:p>
          <w:p>
            <w:pPr>
              <w:rPr>
                <w:rFonts w:hint="eastAsia" w:ascii="宋体" w:hAnsi="宋体"/>
                <w:sz w:val="24"/>
                <w:szCs w:val="24"/>
                <w:lang w:val="en-US" w:eastAsia="zh-CN"/>
              </w:rPr>
            </w:pPr>
            <w:r>
              <w:rPr>
                <w:rFonts w:hint="eastAsia" w:ascii="宋体" w:hAnsi="宋体"/>
                <w:sz w:val="24"/>
                <w:szCs w:val="24"/>
                <w:lang w:val="en-US" w:eastAsia="zh-CN"/>
              </w:rPr>
              <w:t>信</w:t>
            </w:r>
          </w:p>
          <w:p>
            <w:pPr>
              <w:rPr>
                <w:rFonts w:hint="eastAsia" w:ascii="宋体" w:hAnsi="宋体"/>
                <w:sz w:val="24"/>
                <w:szCs w:val="24"/>
                <w:lang w:val="en-US" w:eastAsia="zh-CN"/>
              </w:rPr>
            </w:pPr>
            <w:r>
              <w:rPr>
                <w:rFonts w:hint="eastAsia" w:ascii="宋体" w:hAnsi="宋体"/>
                <w:sz w:val="24"/>
                <w:szCs w:val="24"/>
                <w:lang w:val="en-US" w:eastAsia="zh-CN"/>
              </w:rPr>
              <w:t>技</w:t>
            </w:r>
          </w:p>
          <w:p>
            <w:pPr>
              <w:rPr>
                <w:rFonts w:hint="eastAsia" w:ascii="宋体" w:hAnsi="宋体"/>
                <w:sz w:val="24"/>
                <w:szCs w:val="24"/>
                <w:lang w:val="en-US" w:eastAsia="zh-CN"/>
              </w:rPr>
            </w:pPr>
            <w:r>
              <w:rPr>
                <w:rFonts w:hint="eastAsia" w:ascii="宋体" w:hAnsi="宋体"/>
                <w:sz w:val="24"/>
                <w:szCs w:val="24"/>
                <w:lang w:val="en-US" w:eastAsia="zh-CN"/>
              </w:rPr>
              <w:t>术</w:t>
            </w:r>
          </w:p>
          <w:p>
            <w:pPr>
              <w:rPr>
                <w:rFonts w:hint="default" w:ascii="宋体" w:hAnsi="宋体"/>
                <w:sz w:val="24"/>
                <w:szCs w:val="24"/>
                <w:lang w:val="en-US" w:eastAsia="zh-CN"/>
              </w:rPr>
            </w:pPr>
            <w:r>
              <w:rPr>
                <w:rFonts w:hint="eastAsia" w:ascii="宋体" w:hAnsi="宋体"/>
                <w:sz w:val="24"/>
                <w:szCs w:val="24"/>
                <w:lang w:val="en-US" w:eastAsia="zh-CN"/>
              </w:rPr>
              <w:t>分</w:t>
            </w:r>
          </w:p>
        </w:tc>
        <w:tc>
          <w:tcPr>
            <w:tcW w:w="438" w:type="dxa"/>
            <w:shd w:val="clear" w:color="auto" w:fill="FFFFFF"/>
            <w:noWrap w:val="0"/>
            <w:vAlign w:val="center"/>
          </w:tcPr>
          <w:p>
            <w:pPr>
              <w:rPr>
                <w:rFonts w:hint="default" w:ascii="宋体" w:hAnsi="宋体"/>
                <w:sz w:val="24"/>
                <w:szCs w:val="24"/>
                <w:lang w:val="en-US" w:eastAsia="zh-CN"/>
              </w:rPr>
            </w:pPr>
            <w:r>
              <w:rPr>
                <w:rFonts w:hint="eastAsia" w:ascii="宋体" w:hAnsi="宋体"/>
                <w:sz w:val="24"/>
                <w:szCs w:val="24"/>
                <w:lang w:val="en-US" w:eastAsia="zh-CN"/>
              </w:rPr>
              <w:t>企业资质</w:t>
            </w:r>
          </w:p>
        </w:tc>
        <w:tc>
          <w:tcPr>
            <w:tcW w:w="6756" w:type="dxa"/>
            <w:shd w:val="clear" w:color="auto" w:fill="FFFFFF"/>
            <w:noWrap w:val="0"/>
            <w:vAlign w:val="top"/>
          </w:tcPr>
          <w:p>
            <w:pPr>
              <w:rPr>
                <w:rFonts w:hint="eastAsia" w:ascii="宋体" w:hAnsi="宋体"/>
                <w:sz w:val="24"/>
                <w:szCs w:val="24"/>
                <w:lang w:eastAsia="zh-CN"/>
              </w:rPr>
            </w:pPr>
            <w:r>
              <w:rPr>
                <w:rFonts w:hint="eastAsia" w:ascii="宋体" w:hAnsi="宋体"/>
                <w:sz w:val="24"/>
                <w:szCs w:val="24"/>
              </w:rPr>
              <w:t>1、投标人入围全国等级保护测评机构推荐目录（http://www.djbh.net网址可查询，提供投标人在目录内可搜索到的网页截图或等级保护推荐证书）且持有国家网络安全等级保护工作协调小组办公室颁发的等级测评推荐证书的</w:t>
            </w:r>
            <w:r>
              <w:rPr>
                <w:rFonts w:hint="eastAsia" w:ascii="宋体" w:hAnsi="宋体"/>
                <w:sz w:val="24"/>
                <w:szCs w:val="24"/>
                <w:lang w:eastAsia="zh-CN"/>
              </w:rPr>
              <w:t>，</w:t>
            </w:r>
            <w:r>
              <w:rPr>
                <w:rFonts w:hint="eastAsia" w:ascii="宋体" w:hAnsi="宋体"/>
                <w:sz w:val="24"/>
                <w:szCs w:val="24"/>
              </w:rPr>
              <w:t>得</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w:t>
            </w:r>
          </w:p>
          <w:p>
            <w:pPr>
              <w:rPr>
                <w:rFonts w:hint="eastAsia" w:ascii="宋体" w:hAnsi="宋体"/>
                <w:sz w:val="24"/>
                <w:szCs w:val="24"/>
                <w:lang w:eastAsia="zh-CN"/>
              </w:rPr>
            </w:pPr>
            <w:r>
              <w:rPr>
                <w:rFonts w:hint="eastAsia" w:ascii="宋体" w:hAnsi="宋体"/>
                <w:sz w:val="24"/>
                <w:szCs w:val="24"/>
              </w:rPr>
              <w:t>2、投标人具有中国网络安全审查技术与认证中心颁发的</w:t>
            </w:r>
            <w:r>
              <w:rPr>
                <w:rFonts w:hint="eastAsia" w:ascii="宋体" w:hAnsi="宋体"/>
                <w:sz w:val="24"/>
                <w:szCs w:val="24"/>
                <w:lang w:eastAsia="zh-CN"/>
              </w:rPr>
              <w:t>“</w:t>
            </w:r>
            <w:r>
              <w:rPr>
                <w:rFonts w:hint="eastAsia" w:ascii="宋体" w:hAnsi="宋体"/>
                <w:sz w:val="24"/>
                <w:szCs w:val="24"/>
              </w:rPr>
              <w:t>信息安全风险评估</w:t>
            </w:r>
            <w:r>
              <w:rPr>
                <w:rFonts w:hint="eastAsia" w:ascii="宋体" w:hAnsi="宋体"/>
                <w:sz w:val="24"/>
                <w:szCs w:val="24"/>
                <w:lang w:eastAsia="zh-CN"/>
              </w:rPr>
              <w:t>”</w:t>
            </w:r>
            <w:r>
              <w:rPr>
                <w:rFonts w:hint="eastAsia" w:ascii="宋体" w:hAnsi="宋体"/>
                <w:sz w:val="24"/>
                <w:szCs w:val="24"/>
              </w:rPr>
              <w:t>服务资质证书的</w:t>
            </w:r>
            <w:r>
              <w:rPr>
                <w:rFonts w:hint="eastAsia" w:ascii="宋体" w:hAnsi="宋体"/>
                <w:sz w:val="24"/>
                <w:szCs w:val="24"/>
                <w:lang w:eastAsia="zh-CN"/>
              </w:rPr>
              <w:t>，</w:t>
            </w:r>
            <w:r>
              <w:rPr>
                <w:rFonts w:hint="eastAsia" w:ascii="宋体" w:hAnsi="宋体"/>
                <w:sz w:val="24"/>
                <w:szCs w:val="24"/>
              </w:rPr>
              <w:t>得</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w:t>
            </w:r>
          </w:p>
          <w:p>
            <w:pPr>
              <w:rPr>
                <w:rFonts w:hint="eastAsia" w:ascii="宋体" w:hAnsi="宋体"/>
                <w:sz w:val="24"/>
                <w:szCs w:val="24"/>
                <w:lang w:eastAsia="zh-CN"/>
              </w:rPr>
            </w:pPr>
            <w:r>
              <w:rPr>
                <w:rFonts w:hint="eastAsia" w:ascii="宋体" w:hAnsi="宋体"/>
                <w:sz w:val="24"/>
                <w:szCs w:val="24"/>
              </w:rPr>
              <w:t>3、投标人具有经中国国家认证认可监督管理委员会批准的认证机构颁发的ISO 9001质量管理体系认证证书</w:t>
            </w:r>
            <w:r>
              <w:rPr>
                <w:rFonts w:hint="eastAsia" w:ascii="宋体" w:hAnsi="宋体"/>
                <w:sz w:val="24"/>
                <w:szCs w:val="24"/>
                <w:lang w:val="en-US" w:eastAsia="zh-CN"/>
              </w:rPr>
              <w:t>的</w:t>
            </w:r>
            <w:r>
              <w:rPr>
                <w:rFonts w:hint="eastAsia" w:ascii="宋体" w:hAnsi="宋体"/>
                <w:sz w:val="24"/>
                <w:szCs w:val="24"/>
                <w:lang w:eastAsia="zh-CN"/>
              </w:rPr>
              <w:t>，</w:t>
            </w:r>
            <w:r>
              <w:rPr>
                <w:rFonts w:hint="eastAsia" w:ascii="宋体" w:hAnsi="宋体"/>
                <w:sz w:val="24"/>
                <w:szCs w:val="24"/>
              </w:rPr>
              <w:t>得5分</w:t>
            </w:r>
            <w:r>
              <w:rPr>
                <w:rFonts w:hint="eastAsia" w:ascii="宋体" w:hAnsi="宋体"/>
                <w:sz w:val="24"/>
                <w:szCs w:val="24"/>
                <w:lang w:eastAsia="zh-CN"/>
              </w:rPr>
              <w:t>；</w:t>
            </w:r>
          </w:p>
          <w:p>
            <w:pPr>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、投标人具有经中国国家认证认可监督管理委员会批准的认证机构颁发的ISO</w:t>
            </w:r>
            <w:r>
              <w:rPr>
                <w:rFonts w:hint="eastAsia" w:ascii="宋体" w:hAnsi="宋体"/>
                <w:sz w:val="24"/>
                <w:szCs w:val="24"/>
                <w:lang w:val="en-US" w:eastAsia="zh-CN"/>
              </w:rPr>
              <w:t xml:space="preserve"> 22301业务连续性</w:t>
            </w:r>
            <w:r>
              <w:rPr>
                <w:rFonts w:hint="eastAsia" w:ascii="宋体" w:hAnsi="宋体"/>
                <w:sz w:val="24"/>
                <w:szCs w:val="24"/>
              </w:rPr>
              <w:t>管理体系认证证书</w:t>
            </w:r>
            <w:r>
              <w:rPr>
                <w:rFonts w:hint="eastAsia" w:ascii="宋体" w:hAnsi="宋体"/>
                <w:sz w:val="24"/>
                <w:szCs w:val="24"/>
                <w:lang w:val="en-US" w:eastAsia="zh-CN"/>
              </w:rPr>
              <w:t>的</w:t>
            </w:r>
            <w:r>
              <w:rPr>
                <w:rFonts w:hint="eastAsia" w:ascii="宋体" w:hAnsi="宋体"/>
                <w:sz w:val="24"/>
                <w:szCs w:val="24"/>
              </w:rPr>
              <w:t>，得5分</w:t>
            </w:r>
            <w:r>
              <w:rPr>
                <w:rFonts w:hint="eastAsia" w:ascii="宋体" w:hAnsi="宋体"/>
                <w:sz w:val="24"/>
                <w:szCs w:val="24"/>
                <w:lang w:eastAsia="zh-CN"/>
              </w:rPr>
              <w:t>；</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80" w:hRule="atLeast"/>
        </w:trPr>
        <w:tc>
          <w:tcPr>
            <w:tcW w:w="498" w:type="dxa"/>
            <w:vMerge w:val="continue"/>
            <w:tcBorders>
              <w:top w:val="single" w:color="auto" w:sz="4" w:space="0"/>
              <w:bottom w:val="single" w:color="auto" w:sz="4" w:space="0"/>
            </w:tcBorders>
            <w:shd w:val="clear" w:color="auto" w:fill="FFFFFF"/>
            <w:noWrap w:val="0"/>
            <w:vAlign w:val="center"/>
          </w:tcPr>
          <w:p>
            <w:pPr>
              <w:rPr>
                <w:rFonts w:hint="default" w:ascii="宋体" w:hAnsi="宋体"/>
                <w:sz w:val="24"/>
                <w:szCs w:val="24"/>
                <w:lang w:val="en-US" w:eastAsia="zh-CN"/>
              </w:rPr>
            </w:pPr>
          </w:p>
        </w:tc>
        <w:tc>
          <w:tcPr>
            <w:tcW w:w="4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业绩</w:t>
            </w:r>
          </w:p>
          <w:p>
            <w:pPr>
              <w:rPr>
                <w:rFonts w:hint="default" w:ascii="宋体" w:hAnsi="宋体"/>
                <w:sz w:val="24"/>
                <w:szCs w:val="24"/>
                <w:lang w:val="en-US" w:eastAsia="zh-CN"/>
              </w:rPr>
            </w:pPr>
            <w:r>
              <w:rPr>
                <w:rFonts w:hint="eastAsia" w:ascii="宋体" w:hAnsi="宋体"/>
                <w:sz w:val="24"/>
                <w:szCs w:val="24"/>
                <w:lang w:val="en-US" w:eastAsia="zh-CN"/>
              </w:rPr>
              <w:t>案例</w:t>
            </w:r>
          </w:p>
        </w:tc>
        <w:tc>
          <w:tcPr>
            <w:tcW w:w="6756" w:type="dxa"/>
            <w:shd w:val="clear" w:color="auto" w:fill="FFFFFF"/>
            <w:noWrap w:val="0"/>
            <w:vAlign w:val="top"/>
          </w:tcPr>
          <w:p>
            <w:pPr>
              <w:rPr>
                <w:rFonts w:hint="eastAsia" w:ascii="宋体" w:hAnsi="宋体"/>
                <w:sz w:val="24"/>
                <w:szCs w:val="24"/>
                <w:lang w:eastAsia="zh-CN"/>
              </w:rPr>
            </w:pPr>
            <w:r>
              <w:rPr>
                <w:rFonts w:hint="eastAsia" w:ascii="宋体" w:hAnsi="宋体"/>
                <w:sz w:val="24"/>
                <w:szCs w:val="24"/>
              </w:rPr>
              <w:t>自2018年以来，承担安徽省范围内行政事业单位信息系统安全等级</w:t>
            </w:r>
            <w:r>
              <w:rPr>
                <w:rFonts w:hint="eastAsia" w:ascii="宋体" w:hAnsi="宋体"/>
                <w:sz w:val="24"/>
                <w:szCs w:val="24"/>
                <w:lang w:val="en-US" w:eastAsia="zh-CN"/>
              </w:rPr>
              <w:t>二</w:t>
            </w:r>
            <w:r>
              <w:rPr>
                <w:rFonts w:hint="eastAsia" w:ascii="宋体" w:hAnsi="宋体"/>
                <w:sz w:val="24"/>
                <w:szCs w:val="24"/>
              </w:rPr>
              <w:t>级（含</w:t>
            </w:r>
            <w:r>
              <w:rPr>
                <w:rFonts w:hint="eastAsia" w:ascii="宋体" w:hAnsi="宋体"/>
                <w:sz w:val="24"/>
                <w:szCs w:val="24"/>
                <w:lang w:val="en-US" w:eastAsia="zh-CN"/>
              </w:rPr>
              <w:t>二</w:t>
            </w:r>
            <w:r>
              <w:rPr>
                <w:rFonts w:hint="eastAsia" w:ascii="宋体" w:hAnsi="宋体"/>
                <w:sz w:val="24"/>
                <w:szCs w:val="24"/>
              </w:rPr>
              <w:t>级）以上测评案例的，1个得</w:t>
            </w:r>
            <w:r>
              <w:rPr>
                <w:rFonts w:hint="eastAsia" w:ascii="宋体" w:hAnsi="宋体"/>
                <w:sz w:val="24"/>
                <w:szCs w:val="24"/>
                <w:lang w:val="en-US" w:eastAsia="zh-CN"/>
              </w:rPr>
              <w:t>2</w:t>
            </w:r>
            <w:r>
              <w:rPr>
                <w:rFonts w:hint="eastAsia" w:ascii="宋体" w:hAnsi="宋体"/>
                <w:sz w:val="24"/>
                <w:szCs w:val="24"/>
              </w:rPr>
              <w:t>分，最高1</w:t>
            </w:r>
            <w:r>
              <w:rPr>
                <w:rFonts w:hint="eastAsia" w:ascii="宋体" w:hAnsi="宋体"/>
                <w:sz w:val="24"/>
                <w:szCs w:val="24"/>
                <w:lang w:val="en-US" w:eastAsia="zh-CN"/>
              </w:rPr>
              <w:t>0</w:t>
            </w:r>
            <w:r>
              <w:rPr>
                <w:rFonts w:hint="eastAsia" w:ascii="宋体" w:hAnsi="宋体"/>
                <w:sz w:val="24"/>
                <w:szCs w:val="24"/>
              </w:rPr>
              <w:t>分</w:t>
            </w:r>
            <w:r>
              <w:rPr>
                <w:rFonts w:hint="eastAsia" w:ascii="宋体" w:hAnsi="宋体"/>
                <w:sz w:val="24"/>
                <w:szCs w:val="24"/>
                <w:lang w:eastAsia="zh-CN"/>
              </w:rPr>
              <w:t>。</w:t>
            </w:r>
          </w:p>
          <w:p>
            <w:pPr>
              <w:rPr>
                <w:rFonts w:hint="eastAsia" w:ascii="宋体" w:hAnsi="宋体"/>
                <w:sz w:val="24"/>
                <w:szCs w:val="24"/>
                <w:lang w:eastAsia="zh-CN"/>
              </w:rPr>
            </w:pPr>
            <w:r>
              <w:rPr>
                <w:rFonts w:hint="eastAsia" w:ascii="宋体" w:hAnsi="宋体"/>
                <w:sz w:val="24"/>
                <w:szCs w:val="24"/>
              </w:rPr>
              <w:t>注：</w:t>
            </w:r>
            <w:r>
              <w:rPr>
                <w:rFonts w:hint="eastAsia" w:ascii="宋体" w:hAnsi="宋体"/>
                <w:sz w:val="24"/>
                <w:szCs w:val="24"/>
                <w:lang w:val="en-US" w:eastAsia="zh-CN"/>
              </w:rPr>
              <w:t>有效案例须为已服务完毕业绩，响应文件中提供</w:t>
            </w:r>
            <w:r>
              <w:rPr>
                <w:rFonts w:hint="eastAsia" w:ascii="宋体" w:hAnsi="宋体"/>
                <w:sz w:val="24"/>
                <w:szCs w:val="24"/>
              </w:rPr>
              <w:t>合同复印件或扫描件</w:t>
            </w:r>
            <w:r>
              <w:rPr>
                <w:rFonts w:hint="eastAsia" w:ascii="宋体" w:hAnsi="宋体"/>
                <w:sz w:val="24"/>
                <w:szCs w:val="24"/>
                <w:lang w:eastAsia="zh-CN"/>
              </w:rPr>
              <w:t>、</w:t>
            </w:r>
            <w:r>
              <w:rPr>
                <w:rFonts w:hint="eastAsia" w:ascii="宋体" w:hAnsi="宋体"/>
                <w:sz w:val="24"/>
                <w:szCs w:val="24"/>
                <w:lang w:val="en-US" w:eastAsia="zh-CN"/>
              </w:rPr>
              <w:t>测评报告签字页</w:t>
            </w:r>
            <w:r>
              <w:rPr>
                <w:rFonts w:hint="eastAsia" w:ascii="宋体" w:hAnsi="宋体"/>
                <w:sz w:val="24"/>
                <w:szCs w:val="24"/>
              </w:rPr>
              <w:t>加盖投标人公章</w:t>
            </w:r>
            <w:r>
              <w:rPr>
                <w:rFonts w:hint="eastAsia" w:ascii="宋体" w:hAnsi="宋体"/>
                <w:sz w:val="24"/>
                <w:szCs w:val="24"/>
                <w:lang w:eastAsia="zh-CN"/>
              </w:rPr>
              <w:t>。</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24" w:hRule="atLeast"/>
        </w:trPr>
        <w:tc>
          <w:tcPr>
            <w:tcW w:w="498" w:type="dxa"/>
            <w:vMerge w:val="continue"/>
            <w:tcBorders>
              <w:top w:val="single" w:color="auto" w:sz="4" w:space="0"/>
              <w:bottom w:val="single" w:color="auto" w:sz="4" w:space="0"/>
            </w:tcBorders>
            <w:shd w:val="clear" w:color="auto" w:fill="FFFFFF"/>
            <w:noWrap w:val="0"/>
            <w:vAlign w:val="center"/>
          </w:tcPr>
          <w:p>
            <w:pPr>
              <w:rPr>
                <w:rFonts w:hint="default" w:ascii="宋体" w:hAnsi="宋体"/>
                <w:sz w:val="24"/>
                <w:szCs w:val="24"/>
                <w:lang w:val="en-US" w:eastAsia="zh-CN"/>
              </w:rPr>
            </w:pPr>
          </w:p>
        </w:tc>
        <w:tc>
          <w:tcPr>
            <w:tcW w:w="438" w:type="dxa"/>
            <w:shd w:val="clear" w:color="auto" w:fill="FFFFFF"/>
            <w:noWrap w:val="0"/>
            <w:vAlign w:val="center"/>
          </w:tcPr>
          <w:p>
            <w:pPr>
              <w:rPr>
                <w:rFonts w:hint="default" w:ascii="宋体" w:hAnsi="宋体"/>
                <w:sz w:val="24"/>
                <w:szCs w:val="24"/>
                <w:lang w:val="en-US" w:eastAsia="zh-CN"/>
              </w:rPr>
            </w:pPr>
            <w:r>
              <w:rPr>
                <w:rFonts w:hint="eastAsia" w:ascii="宋体" w:hAnsi="宋体"/>
                <w:sz w:val="24"/>
                <w:szCs w:val="24"/>
                <w:lang w:val="en-US" w:eastAsia="zh-CN"/>
              </w:rPr>
              <w:t>人员资质</w:t>
            </w:r>
          </w:p>
        </w:tc>
        <w:tc>
          <w:tcPr>
            <w:tcW w:w="6756" w:type="dxa"/>
            <w:shd w:val="clear" w:color="auto" w:fill="FFFFFF"/>
            <w:noWrap w:val="0"/>
            <w:vAlign w:val="top"/>
          </w:tcPr>
          <w:p>
            <w:pPr>
              <w:rPr>
                <w:rFonts w:hint="eastAsia" w:ascii="宋体" w:hAnsi="宋体"/>
                <w:sz w:val="24"/>
                <w:szCs w:val="24"/>
              </w:rPr>
            </w:pPr>
            <w:r>
              <w:rPr>
                <w:rFonts w:hint="eastAsia" w:ascii="宋体" w:hAnsi="宋体"/>
                <w:sz w:val="24"/>
                <w:szCs w:val="24"/>
              </w:rPr>
              <w:t>1、投标人提供的项目经理具有高级测评师</w:t>
            </w:r>
            <w:r>
              <w:rPr>
                <w:rFonts w:hint="eastAsia" w:ascii="宋体" w:hAnsi="宋体"/>
                <w:sz w:val="24"/>
                <w:szCs w:val="24"/>
                <w:lang w:val="en-US" w:eastAsia="zh-CN"/>
              </w:rPr>
              <w:t>证书且认证时间满5年</w:t>
            </w:r>
            <w:r>
              <w:rPr>
                <w:rFonts w:hint="eastAsia" w:ascii="宋体" w:hAnsi="宋体"/>
                <w:sz w:val="24"/>
                <w:szCs w:val="24"/>
              </w:rPr>
              <w:t>，得</w:t>
            </w:r>
            <w:r>
              <w:rPr>
                <w:rFonts w:hint="eastAsia" w:ascii="宋体" w:hAnsi="宋体"/>
                <w:sz w:val="24"/>
                <w:szCs w:val="24"/>
                <w:lang w:val="en-US" w:eastAsia="zh-CN"/>
              </w:rPr>
              <w:t>5</w:t>
            </w:r>
            <w:r>
              <w:rPr>
                <w:rFonts w:hint="eastAsia" w:ascii="宋体" w:hAnsi="宋体"/>
                <w:sz w:val="24"/>
                <w:szCs w:val="24"/>
              </w:rPr>
              <w:t>分；</w:t>
            </w:r>
          </w:p>
          <w:p>
            <w:pPr>
              <w:rPr>
                <w:rFonts w:hint="eastAsia" w:ascii="宋体" w:hAnsi="宋体"/>
                <w:sz w:val="24"/>
                <w:szCs w:val="24"/>
                <w:lang w:val="en-US" w:eastAsia="zh-CN"/>
              </w:rPr>
            </w:pPr>
            <w:r>
              <w:rPr>
                <w:rFonts w:hint="eastAsia" w:ascii="宋体" w:hAnsi="宋体"/>
                <w:sz w:val="24"/>
                <w:szCs w:val="24"/>
              </w:rPr>
              <w:t>2、项目经理具有人社部门颁发的信息系统项目管理师认证的，</w:t>
            </w:r>
            <w:r>
              <w:rPr>
                <w:rFonts w:hint="eastAsia" w:ascii="宋体" w:hAnsi="宋体"/>
                <w:sz w:val="24"/>
                <w:szCs w:val="24"/>
                <w:lang w:val="en-US" w:eastAsia="zh-CN"/>
              </w:rPr>
              <w:t>高级</w:t>
            </w:r>
            <w:r>
              <w:rPr>
                <w:rFonts w:hint="eastAsia" w:ascii="宋体" w:hAnsi="宋体"/>
                <w:sz w:val="24"/>
                <w:szCs w:val="24"/>
              </w:rPr>
              <w:t>得</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lang w:val="en-US" w:eastAsia="zh-CN"/>
              </w:rPr>
              <w:t>中级得2分；</w:t>
            </w:r>
          </w:p>
          <w:p>
            <w:pPr>
              <w:rPr>
                <w:rFonts w:hint="eastAsia" w:ascii="宋体" w:hAnsi="宋体"/>
                <w:sz w:val="24"/>
                <w:szCs w:val="24"/>
              </w:rPr>
            </w:pPr>
            <w:r>
              <w:rPr>
                <w:rFonts w:hint="eastAsia" w:ascii="宋体" w:hAnsi="宋体"/>
                <w:sz w:val="24"/>
                <w:szCs w:val="24"/>
              </w:rPr>
              <w:t>3、项目经理具有公安部直属研究所颁发的网络安全等级保护2.0标准应用工程师认证证书的，得</w:t>
            </w:r>
            <w:r>
              <w:rPr>
                <w:rFonts w:hint="eastAsia" w:ascii="宋体" w:hAnsi="宋体"/>
                <w:sz w:val="24"/>
                <w:szCs w:val="24"/>
                <w:lang w:val="en-US" w:eastAsia="zh-CN"/>
              </w:rPr>
              <w:t>5</w:t>
            </w:r>
            <w:r>
              <w:rPr>
                <w:rFonts w:hint="eastAsia" w:ascii="宋体" w:hAnsi="宋体"/>
                <w:sz w:val="24"/>
                <w:szCs w:val="24"/>
              </w:rPr>
              <w:t>分；</w:t>
            </w:r>
          </w:p>
          <w:p>
            <w:pPr>
              <w:rPr>
                <w:rFonts w:hint="eastAsia" w:ascii="宋体" w:hAnsi="宋体"/>
                <w:sz w:val="24"/>
                <w:szCs w:val="24"/>
              </w:rPr>
            </w:pPr>
            <w:r>
              <w:rPr>
                <w:rFonts w:hint="eastAsia" w:ascii="宋体" w:hAnsi="宋体"/>
                <w:sz w:val="24"/>
                <w:szCs w:val="24"/>
              </w:rPr>
              <w:t>4、项目经理具有中国信息安全测评中心颁发的CISI资质证书的，得</w:t>
            </w:r>
            <w:r>
              <w:rPr>
                <w:rFonts w:hint="eastAsia" w:ascii="宋体" w:hAnsi="宋体"/>
                <w:sz w:val="24"/>
                <w:szCs w:val="24"/>
                <w:lang w:val="en-US" w:eastAsia="zh-CN"/>
              </w:rPr>
              <w:t>5</w:t>
            </w:r>
            <w:r>
              <w:rPr>
                <w:rFonts w:hint="eastAsia" w:ascii="宋体" w:hAnsi="宋体"/>
                <w:sz w:val="24"/>
                <w:szCs w:val="24"/>
              </w:rPr>
              <w:t>分；</w:t>
            </w:r>
          </w:p>
          <w:p>
            <w:pPr>
              <w:rPr>
                <w:rFonts w:hint="eastAsia" w:ascii="宋体" w:hAnsi="宋体"/>
                <w:sz w:val="24"/>
                <w:szCs w:val="24"/>
              </w:rPr>
            </w:pPr>
            <w:r>
              <w:rPr>
                <w:rFonts w:hint="eastAsia" w:ascii="宋体" w:hAnsi="宋体"/>
                <w:sz w:val="24"/>
                <w:szCs w:val="24"/>
              </w:rPr>
              <w:t>5、项目经理具有CIW中国网络安全讲师认证的，得5分。</w:t>
            </w:r>
          </w:p>
          <w:p>
            <w:pPr>
              <w:rPr>
                <w:rFonts w:hint="eastAsia" w:ascii="宋体" w:hAnsi="宋体"/>
                <w:sz w:val="24"/>
                <w:szCs w:val="24"/>
              </w:rPr>
            </w:pPr>
          </w:p>
          <w:p>
            <w:pPr>
              <w:rPr>
                <w:rFonts w:hint="eastAsia" w:ascii="宋体" w:hAnsi="宋体"/>
                <w:sz w:val="24"/>
                <w:szCs w:val="24"/>
                <w:lang w:val="en-US" w:eastAsia="zh-CN"/>
              </w:rPr>
            </w:pPr>
            <w:r>
              <w:rPr>
                <w:rFonts w:hint="eastAsia" w:ascii="宋体" w:hAnsi="宋体"/>
                <w:sz w:val="24"/>
                <w:szCs w:val="24"/>
              </w:rPr>
              <w:t>注：1）投标人需指定一名项目管理经验丰富、沟通能力强且技术过硬的中级以上测评师为本项目的项目经理</w:t>
            </w:r>
            <w:r>
              <w:rPr>
                <w:rFonts w:hint="eastAsia" w:ascii="宋体" w:hAnsi="宋体"/>
                <w:sz w:val="24"/>
                <w:szCs w:val="24"/>
                <w:lang w:eastAsia="zh-CN"/>
              </w:rPr>
              <w:t>；</w:t>
            </w:r>
          </w:p>
          <w:p>
            <w:pPr>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响应</w:t>
            </w:r>
            <w:r>
              <w:rPr>
                <w:rFonts w:hint="eastAsia" w:ascii="宋体" w:hAnsi="宋体"/>
                <w:sz w:val="24"/>
                <w:szCs w:val="24"/>
              </w:rPr>
              <w:t>文件中须提供该项证书扫描件并加盖公章；</w:t>
            </w:r>
          </w:p>
          <w:p>
            <w:pP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响应</w:t>
            </w:r>
            <w:r>
              <w:rPr>
                <w:rFonts w:hint="eastAsia" w:ascii="宋体" w:hAnsi="宋体"/>
                <w:sz w:val="24"/>
                <w:szCs w:val="24"/>
              </w:rPr>
              <w:t>文件中须提供投标人为上述人员缴纳的近半年以来的社保证明材料扫描件。</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498" w:type="dxa"/>
            <w:vMerge w:val="continue"/>
            <w:tcBorders>
              <w:top w:val="single" w:color="auto" w:sz="4" w:space="0"/>
              <w:bottom w:val="single" w:color="auto" w:sz="4" w:space="0"/>
            </w:tcBorders>
            <w:shd w:val="clear" w:color="auto" w:fill="FFFFFF"/>
            <w:noWrap w:val="0"/>
            <w:vAlign w:val="center"/>
          </w:tcPr>
          <w:p>
            <w:pPr>
              <w:rPr>
                <w:rFonts w:hint="default" w:ascii="宋体" w:hAnsi="宋体"/>
                <w:sz w:val="24"/>
                <w:szCs w:val="24"/>
                <w:lang w:val="en-US" w:eastAsia="zh-CN"/>
              </w:rPr>
            </w:pPr>
          </w:p>
        </w:tc>
        <w:tc>
          <w:tcPr>
            <w:tcW w:w="4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测评方案</w:t>
            </w:r>
          </w:p>
        </w:tc>
        <w:tc>
          <w:tcPr>
            <w:tcW w:w="6756" w:type="dxa"/>
            <w:shd w:val="clear" w:color="auto" w:fill="FFFFFF"/>
            <w:noWrap w:val="0"/>
            <w:vAlign w:val="top"/>
          </w:tcPr>
          <w:p>
            <w:pPr>
              <w:rPr>
                <w:rFonts w:hint="eastAsia" w:ascii="宋体" w:hAnsi="宋体"/>
                <w:sz w:val="24"/>
                <w:szCs w:val="24"/>
              </w:rPr>
            </w:pPr>
            <w:r>
              <w:rPr>
                <w:rFonts w:hint="eastAsia" w:ascii="宋体" w:hAnsi="宋体"/>
                <w:sz w:val="24"/>
                <w:szCs w:val="24"/>
              </w:rPr>
              <w:t>投标人提供等级保护测评方案，</w:t>
            </w:r>
            <w:r>
              <w:rPr>
                <w:rFonts w:hint="eastAsia" w:ascii="宋体" w:hAnsi="宋体"/>
                <w:sz w:val="24"/>
                <w:szCs w:val="24"/>
                <w:lang w:val="en-US" w:eastAsia="zh-CN"/>
              </w:rPr>
              <w:t>包含</w:t>
            </w:r>
            <w:r>
              <w:rPr>
                <w:rFonts w:hint="eastAsia" w:ascii="宋体" w:hAnsi="宋体"/>
                <w:sz w:val="24"/>
                <w:szCs w:val="24"/>
              </w:rPr>
              <w:t>测评对象与指标</w:t>
            </w:r>
            <w:r>
              <w:rPr>
                <w:rFonts w:hint="eastAsia" w:ascii="宋体" w:hAnsi="宋体"/>
                <w:sz w:val="24"/>
                <w:szCs w:val="24"/>
                <w:lang w:eastAsia="zh-CN"/>
              </w:rPr>
              <w:t>、</w:t>
            </w:r>
            <w:r>
              <w:rPr>
                <w:rFonts w:hint="eastAsia" w:ascii="宋体" w:hAnsi="宋体"/>
                <w:sz w:val="24"/>
                <w:szCs w:val="24"/>
              </w:rPr>
              <w:t>测评方法与工具</w:t>
            </w:r>
            <w:r>
              <w:rPr>
                <w:rFonts w:hint="eastAsia" w:ascii="宋体" w:hAnsi="宋体"/>
                <w:sz w:val="24"/>
                <w:szCs w:val="24"/>
                <w:lang w:eastAsia="zh-CN"/>
              </w:rPr>
              <w:t>、</w:t>
            </w:r>
            <w:r>
              <w:rPr>
                <w:rFonts w:hint="eastAsia" w:ascii="宋体" w:hAnsi="宋体"/>
                <w:sz w:val="24"/>
                <w:szCs w:val="24"/>
              </w:rPr>
              <w:t>测评相关工作的实施计划。重点评价方案编写的质量符合本项目实际现状，并对方案的客观性、准确性、公正性、符合性等进行评价。</w:t>
            </w:r>
          </w:p>
          <w:p>
            <w:pPr>
              <w:rPr>
                <w:rFonts w:hint="eastAsia" w:ascii="宋体" w:hAnsi="宋体"/>
                <w:sz w:val="24"/>
                <w:szCs w:val="24"/>
              </w:rPr>
            </w:pPr>
            <w:r>
              <w:rPr>
                <w:rFonts w:hint="eastAsia" w:ascii="宋体" w:hAnsi="宋体"/>
                <w:sz w:val="24"/>
                <w:szCs w:val="24"/>
              </w:rPr>
              <w:t>方案编写的质量完全符合本项目技术方案实际现状、客观、准确、公正的</w:t>
            </w:r>
            <w:r>
              <w:rPr>
                <w:rFonts w:hint="eastAsia" w:ascii="宋体" w:hAnsi="宋体"/>
                <w:sz w:val="24"/>
                <w:szCs w:val="24"/>
                <w:lang w:eastAsia="zh-CN"/>
              </w:rPr>
              <w:t>，</w:t>
            </w:r>
            <w:r>
              <w:rPr>
                <w:rFonts w:hint="eastAsia" w:ascii="宋体" w:hAnsi="宋体"/>
                <w:sz w:val="24"/>
                <w:szCs w:val="24"/>
              </w:rPr>
              <w:t>得</w:t>
            </w: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p>
            <w:pPr>
              <w:rPr>
                <w:rFonts w:hint="eastAsia" w:ascii="宋体" w:hAnsi="宋体"/>
                <w:sz w:val="24"/>
                <w:szCs w:val="24"/>
              </w:rPr>
            </w:pPr>
            <w:r>
              <w:rPr>
                <w:rFonts w:hint="eastAsia" w:ascii="宋体" w:hAnsi="宋体"/>
                <w:sz w:val="24"/>
                <w:szCs w:val="24"/>
              </w:rPr>
              <w:t>方案编写的质量符合本项目技术方案实际现状、较为客观准确的</w:t>
            </w:r>
            <w:r>
              <w:rPr>
                <w:rFonts w:hint="eastAsia" w:ascii="宋体" w:hAnsi="宋体"/>
                <w:sz w:val="24"/>
                <w:szCs w:val="24"/>
                <w:lang w:eastAsia="zh-CN"/>
              </w:rPr>
              <w:t>，</w:t>
            </w:r>
            <w:r>
              <w:rPr>
                <w:rFonts w:hint="eastAsia" w:ascii="宋体" w:hAnsi="宋体"/>
                <w:sz w:val="24"/>
                <w:szCs w:val="24"/>
              </w:rPr>
              <w:t xml:space="preserve">得 </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 xml:space="preserve"> 分；</w:t>
            </w:r>
          </w:p>
          <w:p>
            <w:pPr>
              <w:rPr>
                <w:rFonts w:hint="eastAsia" w:ascii="宋体" w:hAnsi="宋体"/>
                <w:sz w:val="24"/>
                <w:szCs w:val="24"/>
              </w:rPr>
            </w:pPr>
            <w:r>
              <w:rPr>
                <w:rFonts w:hint="eastAsia" w:ascii="宋体" w:hAnsi="宋体"/>
                <w:sz w:val="24"/>
                <w:szCs w:val="24"/>
              </w:rPr>
              <w:t>方案编写的质量基本符合本项目技术方案实际现状、相对完整的</w:t>
            </w:r>
            <w:r>
              <w:rPr>
                <w:rFonts w:hint="eastAsia" w:ascii="宋体" w:hAnsi="宋体"/>
                <w:sz w:val="24"/>
                <w:szCs w:val="24"/>
                <w:lang w:eastAsia="zh-CN"/>
              </w:rPr>
              <w:t>，</w:t>
            </w:r>
            <w:r>
              <w:rPr>
                <w:rFonts w:hint="eastAsia" w:ascii="宋体" w:hAnsi="宋体"/>
                <w:sz w:val="24"/>
                <w:szCs w:val="24"/>
              </w:rPr>
              <w:t>得 1-</w:t>
            </w:r>
            <w:r>
              <w:rPr>
                <w:rFonts w:hint="eastAsia" w:ascii="宋体" w:hAnsi="宋体"/>
                <w:sz w:val="24"/>
                <w:szCs w:val="24"/>
                <w:lang w:val="en-US" w:eastAsia="zh-CN"/>
              </w:rPr>
              <w:t>3</w:t>
            </w:r>
            <w:r>
              <w:rPr>
                <w:rFonts w:hint="eastAsia" w:ascii="宋体" w:hAnsi="宋体"/>
                <w:sz w:val="24"/>
                <w:szCs w:val="24"/>
              </w:rPr>
              <w:t xml:space="preserve"> 分；</w:t>
            </w:r>
          </w:p>
          <w:p>
            <w:pPr>
              <w:rPr>
                <w:rFonts w:hint="eastAsia" w:ascii="宋体" w:hAnsi="宋体"/>
                <w:sz w:val="24"/>
                <w:szCs w:val="24"/>
                <w:lang w:val="en-US" w:eastAsia="zh-CN"/>
              </w:rPr>
            </w:pPr>
            <w:r>
              <w:rPr>
                <w:rFonts w:hint="eastAsia" w:ascii="宋体" w:hAnsi="宋体"/>
                <w:sz w:val="24"/>
                <w:szCs w:val="24"/>
              </w:rPr>
              <w:t>不提供不得分。</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4" w:hRule="atLeast"/>
        </w:trPr>
        <w:tc>
          <w:tcPr>
            <w:tcW w:w="498" w:type="dxa"/>
            <w:vMerge w:val="continue"/>
            <w:tcBorders>
              <w:top w:val="single" w:color="auto" w:sz="4" w:space="0"/>
              <w:bottom w:val="single" w:color="auto" w:sz="4" w:space="0"/>
            </w:tcBorders>
            <w:shd w:val="clear" w:color="auto" w:fill="FFFFFF"/>
            <w:noWrap w:val="0"/>
            <w:vAlign w:val="center"/>
          </w:tcPr>
          <w:p>
            <w:pPr>
              <w:rPr>
                <w:rFonts w:hint="eastAsia" w:ascii="宋体" w:hAnsi="宋体"/>
                <w:sz w:val="24"/>
                <w:szCs w:val="24"/>
                <w:lang w:val="en-US" w:eastAsia="zh-CN"/>
              </w:rPr>
            </w:pPr>
          </w:p>
        </w:tc>
        <w:tc>
          <w:tcPr>
            <w:tcW w:w="4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项目管理</w:t>
            </w:r>
          </w:p>
          <w:p>
            <w:pPr>
              <w:rPr>
                <w:rFonts w:hint="eastAsia" w:ascii="宋体" w:hAnsi="宋体"/>
                <w:sz w:val="24"/>
                <w:szCs w:val="24"/>
                <w:lang w:val="en-US" w:eastAsia="zh-CN"/>
              </w:rPr>
            </w:pPr>
            <w:r>
              <w:rPr>
                <w:rFonts w:hint="eastAsia" w:ascii="宋体" w:hAnsi="宋体"/>
                <w:sz w:val="24"/>
                <w:szCs w:val="24"/>
                <w:lang w:val="en-US" w:eastAsia="zh-CN"/>
              </w:rPr>
              <w:t>方案</w:t>
            </w:r>
          </w:p>
        </w:tc>
        <w:tc>
          <w:tcPr>
            <w:tcW w:w="6756" w:type="dxa"/>
            <w:shd w:val="clear" w:color="auto" w:fill="FFFFFF"/>
            <w:noWrap w:val="0"/>
            <w:vAlign w:val="top"/>
          </w:tcPr>
          <w:p>
            <w:pPr>
              <w:rPr>
                <w:rFonts w:hint="eastAsia" w:ascii="宋体" w:hAnsi="宋体"/>
                <w:sz w:val="24"/>
                <w:szCs w:val="24"/>
              </w:rPr>
            </w:pPr>
            <w:r>
              <w:rPr>
                <w:rFonts w:hint="eastAsia" w:ascii="宋体" w:hAnsi="宋体"/>
                <w:sz w:val="24"/>
                <w:szCs w:val="24"/>
              </w:rPr>
              <w:t>投标人应提供</w:t>
            </w:r>
            <w:r>
              <w:rPr>
                <w:rFonts w:hint="eastAsia" w:ascii="宋体" w:hAnsi="宋体"/>
                <w:sz w:val="24"/>
                <w:szCs w:val="24"/>
                <w:lang w:val="en-US" w:eastAsia="zh-CN"/>
              </w:rPr>
              <w:t>针对本次项目的项目管理</w:t>
            </w:r>
            <w:r>
              <w:rPr>
                <w:rFonts w:hint="eastAsia" w:ascii="宋体" w:hAnsi="宋体"/>
                <w:sz w:val="24"/>
                <w:szCs w:val="24"/>
              </w:rPr>
              <w:t>方案，方案要求</w:t>
            </w:r>
            <w:r>
              <w:rPr>
                <w:rFonts w:hint="eastAsia" w:ascii="宋体" w:hAnsi="宋体"/>
                <w:sz w:val="24"/>
                <w:szCs w:val="24"/>
                <w:lang w:val="en-US" w:eastAsia="zh-CN"/>
              </w:rPr>
              <w:t>有</w:t>
            </w:r>
            <w:r>
              <w:rPr>
                <w:rFonts w:hint="eastAsia" w:ascii="宋体" w:hAnsi="宋体"/>
                <w:sz w:val="24"/>
                <w:szCs w:val="24"/>
              </w:rPr>
              <w:t>明确的建设质量目标，质量保证措施，并具有详细可行的实施内容等，由磋商小组进行综合评分：</w:t>
            </w:r>
          </w:p>
          <w:p>
            <w:pPr>
              <w:rPr>
                <w:rFonts w:hint="eastAsia" w:ascii="宋体" w:hAnsi="宋体"/>
                <w:sz w:val="24"/>
                <w:szCs w:val="24"/>
              </w:rPr>
            </w:pPr>
            <w:r>
              <w:rPr>
                <w:rFonts w:hint="eastAsia" w:ascii="宋体" w:hAnsi="宋体"/>
                <w:sz w:val="24"/>
                <w:szCs w:val="24"/>
                <w:lang w:val="en-US" w:eastAsia="zh-CN"/>
              </w:rPr>
              <w:t>项目管理</w:t>
            </w:r>
            <w:r>
              <w:rPr>
                <w:rFonts w:hint="eastAsia" w:ascii="宋体" w:hAnsi="宋体"/>
                <w:sz w:val="24"/>
                <w:szCs w:val="24"/>
              </w:rPr>
              <w:t>方案目标明确，质量保证措施及实施内容详细可行的</w:t>
            </w:r>
            <w:r>
              <w:rPr>
                <w:rFonts w:hint="eastAsia" w:ascii="宋体" w:hAnsi="宋体"/>
                <w:sz w:val="24"/>
                <w:szCs w:val="24"/>
                <w:lang w:eastAsia="zh-CN"/>
              </w:rPr>
              <w:t>，</w:t>
            </w:r>
            <w:r>
              <w:rPr>
                <w:rFonts w:hint="eastAsia" w:ascii="宋体" w:hAnsi="宋体"/>
                <w:sz w:val="24"/>
                <w:szCs w:val="24"/>
              </w:rPr>
              <w:t>得</w:t>
            </w: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 xml:space="preserve"> 分；</w:t>
            </w:r>
          </w:p>
          <w:p>
            <w:pPr>
              <w:rPr>
                <w:rFonts w:hint="eastAsia" w:ascii="宋体" w:hAnsi="宋体"/>
                <w:sz w:val="24"/>
                <w:szCs w:val="24"/>
                <w:lang w:val="en-US" w:eastAsia="zh-CN"/>
              </w:rPr>
            </w:pPr>
            <w:r>
              <w:rPr>
                <w:rFonts w:hint="eastAsia" w:ascii="宋体" w:hAnsi="宋体"/>
                <w:sz w:val="24"/>
                <w:szCs w:val="24"/>
                <w:lang w:val="en-US" w:eastAsia="zh-CN"/>
              </w:rPr>
              <w:t>项目管理</w:t>
            </w:r>
            <w:r>
              <w:rPr>
                <w:rFonts w:hint="eastAsia" w:ascii="宋体" w:hAnsi="宋体"/>
                <w:sz w:val="24"/>
                <w:szCs w:val="24"/>
              </w:rPr>
              <w:t>方案目标较为明确，质量保证措施及实施内容基本可</w:t>
            </w:r>
            <w:r>
              <w:rPr>
                <w:rFonts w:hint="eastAsia" w:ascii="宋体" w:hAnsi="宋体"/>
                <w:sz w:val="24"/>
                <w:szCs w:val="24"/>
                <w:lang w:val="en-US" w:eastAsia="zh-CN"/>
              </w:rPr>
              <w:t>行的，得4-6分；</w:t>
            </w:r>
          </w:p>
          <w:p>
            <w:pPr>
              <w:rPr>
                <w:rFonts w:hint="eastAsia" w:ascii="宋体" w:hAnsi="宋体"/>
                <w:sz w:val="24"/>
                <w:szCs w:val="24"/>
                <w:lang w:val="en-US" w:eastAsia="zh-CN"/>
              </w:rPr>
            </w:pPr>
            <w:r>
              <w:rPr>
                <w:rFonts w:hint="eastAsia" w:ascii="宋体" w:hAnsi="宋体"/>
                <w:sz w:val="24"/>
                <w:szCs w:val="24"/>
                <w:lang w:val="en-US" w:eastAsia="zh-CN"/>
              </w:rPr>
              <w:t>项目管理</w:t>
            </w:r>
            <w:r>
              <w:rPr>
                <w:rFonts w:hint="eastAsia" w:ascii="宋体" w:hAnsi="宋体"/>
                <w:sz w:val="24"/>
                <w:szCs w:val="24"/>
              </w:rPr>
              <w:t>方案目标明确</w:t>
            </w:r>
            <w:r>
              <w:rPr>
                <w:rFonts w:hint="eastAsia" w:ascii="宋体" w:hAnsi="宋体"/>
                <w:sz w:val="24"/>
                <w:szCs w:val="24"/>
                <w:lang w:val="en-US" w:eastAsia="zh-CN"/>
              </w:rPr>
              <w:t>性一般</w:t>
            </w:r>
            <w:r>
              <w:rPr>
                <w:rFonts w:hint="eastAsia" w:ascii="宋体" w:hAnsi="宋体"/>
                <w:sz w:val="24"/>
                <w:szCs w:val="24"/>
              </w:rPr>
              <w:t>，质量保证措施及实施内容</w:t>
            </w:r>
            <w:r>
              <w:rPr>
                <w:rFonts w:hint="eastAsia" w:ascii="宋体" w:hAnsi="宋体"/>
                <w:sz w:val="24"/>
                <w:szCs w:val="24"/>
                <w:lang w:val="en-US" w:eastAsia="zh-CN"/>
              </w:rPr>
              <w:t>一般的，得1-3分；</w:t>
            </w:r>
          </w:p>
          <w:p>
            <w:pPr>
              <w:rPr>
                <w:rFonts w:hint="eastAsia" w:ascii="宋体" w:hAnsi="宋体"/>
                <w:sz w:val="24"/>
                <w:szCs w:val="24"/>
              </w:rPr>
            </w:pPr>
            <w:r>
              <w:rPr>
                <w:rFonts w:hint="eastAsia" w:ascii="宋体" w:hAnsi="宋体"/>
                <w:sz w:val="24"/>
                <w:szCs w:val="24"/>
              </w:rPr>
              <w:t>无相关内容不得分。</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4" w:hRule="atLeast"/>
        </w:trPr>
        <w:tc>
          <w:tcPr>
            <w:tcW w:w="498" w:type="dxa"/>
            <w:vMerge w:val="continue"/>
            <w:tcBorders>
              <w:top w:val="single" w:color="auto" w:sz="4" w:space="0"/>
              <w:bottom w:val="single" w:color="auto" w:sz="4" w:space="0"/>
            </w:tcBorders>
            <w:shd w:val="clear" w:color="auto" w:fill="FFFFFF"/>
            <w:noWrap w:val="0"/>
            <w:vAlign w:val="center"/>
          </w:tcPr>
          <w:p>
            <w:pPr>
              <w:rPr>
                <w:rFonts w:hint="eastAsia" w:ascii="宋体" w:hAnsi="宋体"/>
                <w:sz w:val="24"/>
                <w:szCs w:val="24"/>
                <w:lang w:val="en-US" w:eastAsia="zh-CN"/>
              </w:rPr>
            </w:pPr>
          </w:p>
        </w:tc>
        <w:tc>
          <w:tcPr>
            <w:tcW w:w="438" w:type="dxa"/>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测评工具</w:t>
            </w:r>
          </w:p>
        </w:tc>
        <w:tc>
          <w:tcPr>
            <w:tcW w:w="6756" w:type="dxa"/>
            <w:shd w:val="clear" w:color="auto" w:fill="FFFFFF"/>
            <w:noWrap w:val="0"/>
            <w:vAlign w:val="top"/>
          </w:tcPr>
          <w:p>
            <w:pPr>
              <w:rPr>
                <w:rFonts w:hint="eastAsia" w:ascii="宋体" w:hAnsi="宋体"/>
                <w:sz w:val="24"/>
                <w:szCs w:val="24"/>
              </w:rPr>
            </w:pPr>
            <w:r>
              <w:rPr>
                <w:rFonts w:hint="eastAsia" w:ascii="宋体" w:hAnsi="宋体"/>
                <w:sz w:val="24"/>
                <w:szCs w:val="24"/>
              </w:rPr>
              <w:t>供应商具有满足项目实施要求的测试设备及工具，包括但不限于漏洞扫描工具、WEB测试工具、脆弱性评估工具、渗透测试工具、配置核查工具、流量分析工具、等保工具箱、威胁检测工具、恶意代码检测工具等，每提供一项得1分。满分5分。</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注：供应商必须提供相关工具的自有产权证明或者采购合同、授权书等证明材料扫描件或影印件。</w:t>
            </w:r>
          </w:p>
          <w:p>
            <w:pPr>
              <w:rPr>
                <w:rFonts w:hint="eastAsia" w:ascii="宋体" w:hAnsi="宋体"/>
                <w:sz w:val="24"/>
                <w:szCs w:val="24"/>
              </w:rPr>
            </w:pP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00" w:hRule="atLeast"/>
        </w:trPr>
        <w:tc>
          <w:tcPr>
            <w:tcW w:w="498" w:type="dxa"/>
            <w:tcBorders>
              <w:top w:val="single" w:color="auto" w:sz="4" w:space="0"/>
            </w:tcBorders>
            <w:shd w:val="clear" w:color="auto" w:fill="FFFFFF"/>
            <w:noWrap w:val="0"/>
            <w:vAlign w:val="center"/>
          </w:tcPr>
          <w:p>
            <w:pPr>
              <w:rPr>
                <w:rFonts w:hint="eastAsia" w:ascii="宋体" w:hAnsi="宋体"/>
                <w:sz w:val="24"/>
                <w:szCs w:val="24"/>
                <w:lang w:val="en-US" w:eastAsia="zh-CN"/>
              </w:rPr>
            </w:pPr>
            <w:r>
              <w:rPr>
                <w:rFonts w:hint="eastAsia" w:ascii="宋体" w:hAnsi="宋体"/>
                <w:sz w:val="24"/>
                <w:szCs w:val="24"/>
                <w:lang w:val="en-US" w:eastAsia="zh-CN"/>
              </w:rPr>
              <w:t>价格</w:t>
            </w:r>
          </w:p>
          <w:p>
            <w:pPr>
              <w:rPr>
                <w:rFonts w:hint="eastAsia" w:ascii="宋体" w:hAnsi="宋体"/>
                <w:sz w:val="24"/>
                <w:szCs w:val="24"/>
                <w:lang w:val="en-US" w:eastAsia="zh-CN"/>
              </w:rPr>
            </w:pPr>
            <w:r>
              <w:rPr>
                <w:rFonts w:hint="eastAsia" w:ascii="宋体" w:hAnsi="宋体"/>
                <w:sz w:val="24"/>
                <w:szCs w:val="24"/>
                <w:lang w:val="en-US" w:eastAsia="zh-CN"/>
              </w:rPr>
              <w:t>分</w:t>
            </w:r>
          </w:p>
        </w:tc>
        <w:tc>
          <w:tcPr>
            <w:tcW w:w="7194" w:type="dxa"/>
            <w:gridSpan w:val="2"/>
            <w:shd w:val="clear" w:color="auto" w:fill="FFFFFF"/>
            <w:noWrap w:val="0"/>
            <w:vAlign w:val="center"/>
          </w:tcPr>
          <w:p>
            <w:pPr>
              <w:rPr>
                <w:rFonts w:hint="eastAsia" w:ascii="宋体" w:hAnsi="宋体"/>
                <w:sz w:val="24"/>
                <w:szCs w:val="24"/>
              </w:rPr>
            </w:pPr>
            <w:r>
              <w:rPr>
                <w:rFonts w:hint="eastAsia" w:ascii="宋体" w:hAnsi="宋体"/>
                <w:sz w:val="24"/>
                <w:szCs w:val="24"/>
              </w:rPr>
              <w:t>价格采用低价优先法计算，即满足招标文件要求且最终报价最低的价格为评审基准价，其价格分为满分，其他投标人的价格分按照下列公式计算：最终报价得分=（评审基准价/最终报价）×</w:t>
            </w:r>
            <w:r>
              <w:rPr>
                <w:rFonts w:hint="eastAsia" w:ascii="宋体" w:hAnsi="宋体"/>
                <w:sz w:val="24"/>
                <w:szCs w:val="24"/>
                <w:lang w:val="en-US" w:eastAsia="zh-CN"/>
              </w:rPr>
              <w:t>2</w:t>
            </w:r>
            <w:r>
              <w:rPr>
                <w:rFonts w:hint="eastAsia" w:ascii="宋体" w:hAnsi="宋体"/>
                <w:sz w:val="24"/>
                <w:szCs w:val="24"/>
              </w:rPr>
              <w:t>0%×100。</w:t>
            </w:r>
          </w:p>
        </w:tc>
        <w:tc>
          <w:tcPr>
            <w:tcW w:w="1138" w:type="dxa"/>
            <w:shd w:val="clear" w:color="auto" w:fill="FFFFFF"/>
            <w:noWrap w:val="0"/>
            <w:vAlign w:val="top"/>
          </w:tcPr>
          <w:p>
            <w:pPr>
              <w:rPr>
                <w:rFonts w:hint="eastAsia" w:ascii="宋体" w:hAnsi="宋体"/>
                <w:sz w:val="24"/>
                <w:szCs w:val="24"/>
                <w:lang w:val="en-US" w:eastAsia="zh-CN"/>
              </w:rPr>
            </w:pPr>
          </w:p>
          <w:p>
            <w:pPr>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t>20分</w:t>
            </w:r>
          </w:p>
        </w:tc>
      </w:tr>
    </w:tbl>
    <w:p/>
    <w:p>
      <w:pPr>
        <w:pStyle w:val="4"/>
        <w:spacing w:line="360" w:lineRule="auto"/>
        <w:ind w:firstLine="0"/>
        <w:rPr>
          <w:rFonts w:ascii="宋体" w:hAnsi="宋体"/>
          <w:sz w:val="24"/>
          <w:szCs w:val="24"/>
        </w:rPr>
      </w:pPr>
    </w:p>
    <w:p>
      <w:pPr>
        <w:pStyle w:val="2"/>
        <w:pageBreakBefore/>
        <w:spacing w:before="0" w:after="0" w:line="360" w:lineRule="auto"/>
        <w:contextualSpacing/>
        <w:jc w:val="center"/>
        <w:rPr>
          <w:rFonts w:ascii="仿宋_GB2312" w:hAnsi="仿宋" w:eastAsia="仿宋_GB2312" w:cs="仿宋"/>
          <w:sz w:val="32"/>
          <w:szCs w:val="32"/>
        </w:rPr>
      </w:pPr>
      <w:bookmarkStart w:id="72" w:name="_Toc27900"/>
      <w:bookmarkStart w:id="73" w:name="_Toc5738"/>
      <w:bookmarkStart w:id="74" w:name="_Toc12520088"/>
      <w:r>
        <w:rPr>
          <w:rFonts w:hint="eastAsia" w:ascii="仿宋_GB2312" w:hAnsi="仿宋" w:eastAsia="仿宋_GB2312" w:cs="仿宋"/>
          <w:sz w:val="32"/>
          <w:szCs w:val="32"/>
        </w:rPr>
        <w:t>第四章  附件</w:t>
      </w:r>
      <w:bookmarkEnd w:id="72"/>
      <w:bookmarkEnd w:id="73"/>
      <w:bookmarkEnd w:id="74"/>
    </w:p>
    <w:p>
      <w:pPr>
        <w:pStyle w:val="3"/>
        <w:spacing w:before="0" w:after="0" w:line="360" w:lineRule="auto"/>
        <w:contextualSpacing/>
        <w:jc w:val="center"/>
        <w:outlineLvl w:val="0"/>
        <w:rPr>
          <w:rFonts w:ascii="仿宋_GB2312" w:hAnsi="仿宋" w:eastAsia="仿宋_GB2312" w:cs="仿宋"/>
          <w:b w:val="0"/>
          <w:bCs/>
          <w:szCs w:val="32"/>
        </w:rPr>
      </w:pPr>
      <w:bookmarkStart w:id="75" w:name="_Toc12520089"/>
      <w:bookmarkStart w:id="76" w:name="_Toc6721"/>
      <w:bookmarkStart w:id="77" w:name="_Toc12156"/>
      <w:r>
        <w:rPr>
          <w:rFonts w:hint="eastAsia" w:ascii="仿宋_GB2312" w:hAnsi="仿宋" w:eastAsia="仿宋_GB2312" w:cs="仿宋"/>
          <w:b w:val="0"/>
          <w:bCs/>
          <w:szCs w:val="32"/>
        </w:rPr>
        <w:t>附件1 投标函</w:t>
      </w:r>
      <w:bookmarkEnd w:id="67"/>
      <w:bookmarkEnd w:id="68"/>
      <w:bookmarkEnd w:id="75"/>
      <w:bookmarkEnd w:id="76"/>
      <w:bookmarkEnd w:id="77"/>
    </w:p>
    <w:p>
      <w:pPr>
        <w:spacing w:line="360" w:lineRule="auto"/>
        <w:contextualSpacing/>
        <w:jc w:val="left"/>
        <w:rPr>
          <w:rFonts w:hint="default" w:ascii="仿宋_GB2312" w:hAnsi="仿宋" w:cs="仿宋"/>
          <w:szCs w:val="32"/>
        </w:rPr>
      </w:pPr>
      <w:r>
        <w:rPr>
          <w:rFonts w:ascii="仿宋_GB2312" w:hAnsi="仿宋" w:cs="仿宋"/>
          <w:szCs w:val="32"/>
        </w:rPr>
        <w:t>致</w:t>
      </w:r>
      <w:r>
        <w:rPr>
          <w:rFonts w:hint="eastAsia" w:ascii="仿宋_GB2312" w:hAnsi="仿宋" w:cs="仿宋"/>
          <w:szCs w:val="32"/>
          <w:u w:val="single"/>
          <w:lang w:val="en-US" w:eastAsia="zh-CN"/>
        </w:rPr>
        <w:t>安徽省中西医结合医院</w:t>
      </w:r>
      <w:r>
        <w:rPr>
          <w:rFonts w:ascii="仿宋_GB2312" w:hAnsi="仿宋" w:cs="仿宋"/>
          <w:szCs w:val="32"/>
        </w:rPr>
        <w:t>：</w:t>
      </w:r>
    </w:p>
    <w:p>
      <w:pPr>
        <w:spacing w:line="360" w:lineRule="auto"/>
        <w:ind w:firstLine="640" w:firstLineChars="200"/>
        <w:contextualSpacing/>
        <w:jc w:val="left"/>
        <w:rPr>
          <w:rFonts w:hint="default" w:ascii="仿宋_GB2312" w:hAnsi="仿宋" w:cs="仿宋"/>
          <w:szCs w:val="32"/>
        </w:rPr>
      </w:pPr>
      <w:r>
        <w:rPr>
          <w:rFonts w:ascii="仿宋_GB2312" w:hAnsi="仿宋" w:cs="仿宋"/>
          <w:szCs w:val="32"/>
        </w:rPr>
        <w:t>我们已经仔细阅读了</w:t>
      </w:r>
      <w:r>
        <w:rPr>
          <w:rFonts w:ascii="仿宋_GB2312" w:hAnsi="仿宋" w:cs="仿宋"/>
          <w:kern w:val="0"/>
          <w:szCs w:val="32"/>
        </w:rPr>
        <w:t>网络安全等级保护测评服务项目</w:t>
      </w:r>
      <w:r>
        <w:rPr>
          <w:rFonts w:ascii="仿宋_GB2312" w:hAnsi="仿宋" w:cs="仿宋"/>
          <w:szCs w:val="32"/>
        </w:rPr>
        <w:t>招标文件，我方同意招标人在招标文件中对投标方的约束。若中标我们将以此作为必须严格遵循的合同条件的组成部分，按照招标人的要求,提供并交付与招标文件要求相一致的产品。</w:t>
      </w:r>
    </w:p>
    <w:p>
      <w:pPr>
        <w:spacing w:line="360" w:lineRule="auto"/>
        <w:ind w:firstLine="627" w:firstLineChars="196"/>
        <w:contextualSpacing/>
        <w:rPr>
          <w:rFonts w:hint="default" w:ascii="仿宋_GB2312" w:hAnsi="仿宋" w:cs="仿宋"/>
          <w:snapToGrid w:val="0"/>
          <w:szCs w:val="32"/>
        </w:rPr>
      </w:pPr>
      <w:r>
        <w:rPr>
          <w:rFonts w:ascii="仿宋_GB2312" w:hAnsi="仿宋" w:cs="仿宋"/>
          <w:szCs w:val="32"/>
        </w:rPr>
        <w:t>我们保证,如果我们的投标被接受,将严格执行招标文件中的各项条款,认真履行卖方的责任及义务,兑现我们投标文件中提出的各项承诺。</w:t>
      </w:r>
    </w:p>
    <w:p>
      <w:pPr>
        <w:spacing w:line="360" w:lineRule="auto"/>
        <w:ind w:firstLine="640" w:firstLineChars="200"/>
        <w:contextualSpacing/>
        <w:rPr>
          <w:rFonts w:hint="default" w:ascii="仿宋_GB2312" w:hAnsi="仿宋" w:cs="仿宋"/>
          <w:szCs w:val="32"/>
        </w:rPr>
      </w:pPr>
      <w:r>
        <w:rPr>
          <w:rFonts w:ascii="仿宋_GB2312" w:hAnsi="仿宋" w:cs="仿宋"/>
          <w:szCs w:val="32"/>
        </w:rPr>
        <w:t>我方慎重保证，投标文件的所有内容及提供给招标人的所有证明文件和资料是真实的、准确的。</w:t>
      </w:r>
    </w:p>
    <w:p>
      <w:pPr>
        <w:pStyle w:val="9"/>
        <w:spacing w:line="360" w:lineRule="auto"/>
        <w:contextualSpacing/>
        <w:rPr>
          <w:rFonts w:hint="default" w:hAnsi="仿宋" w:cs="仿宋"/>
          <w:szCs w:val="32"/>
        </w:rPr>
      </w:pPr>
      <w:r>
        <w:rPr>
          <w:rFonts w:hAnsi="仿宋" w:cs="仿宋"/>
          <w:szCs w:val="32"/>
        </w:rPr>
        <w:t>在正式合同准备签订或执行之前，本投标书、贵方的书面通知及中标通知书将构成约束我们双方的合同。我们理解贵方不一定接受最低价或贵方可能收到的任何投标文件，尊重贵方招标结果。</w:t>
      </w:r>
    </w:p>
    <w:p>
      <w:pPr>
        <w:spacing w:line="360" w:lineRule="auto"/>
        <w:ind w:left="-1738" w:leftChars="-600" w:right="1620" w:hanging="182"/>
        <w:contextualSpacing/>
        <w:jc w:val="right"/>
        <w:rPr>
          <w:rFonts w:hint="default" w:ascii="仿宋_GB2312" w:hAnsi="仿宋" w:cs="仿宋"/>
          <w:szCs w:val="32"/>
        </w:rPr>
      </w:pPr>
      <w:r>
        <w:rPr>
          <w:rFonts w:ascii="仿宋_GB2312" w:hAnsi="仿宋" w:cs="仿宋"/>
          <w:szCs w:val="32"/>
        </w:rPr>
        <w:t>投标人名称（加盖公章）：</w:t>
      </w:r>
    </w:p>
    <w:p>
      <w:pPr>
        <w:spacing w:line="360" w:lineRule="auto"/>
        <w:ind w:right="880" w:firstLine="3840" w:firstLineChars="1200"/>
        <w:contextualSpacing/>
        <w:rPr>
          <w:rFonts w:hint="default" w:ascii="仿宋_GB2312" w:hAnsi="仿宋" w:cs="仿宋"/>
          <w:szCs w:val="32"/>
        </w:rPr>
      </w:pPr>
      <w:r>
        <w:rPr>
          <w:rFonts w:ascii="仿宋_GB2312" w:hAnsi="仿宋" w:cs="仿宋"/>
          <w:szCs w:val="32"/>
        </w:rPr>
        <w:t>法定代表人或其授权人签字：</w:t>
      </w:r>
    </w:p>
    <w:p>
      <w:pPr>
        <w:spacing w:line="360" w:lineRule="auto"/>
        <w:ind w:right="480" w:firstLine="4960" w:firstLineChars="1550"/>
        <w:contextualSpacing/>
        <w:jc w:val="left"/>
        <w:rPr>
          <w:rFonts w:hint="default" w:ascii="仿宋_GB2312" w:hAnsi="仿宋" w:cs="仿宋"/>
          <w:szCs w:val="32"/>
        </w:rPr>
        <w:sectPr>
          <w:pgSz w:w="11907" w:h="16840"/>
          <w:pgMar w:top="1440" w:right="1080" w:bottom="1440" w:left="1080" w:header="851" w:footer="992" w:gutter="0"/>
          <w:pgNumType w:fmt="numberInDash"/>
          <w:cols w:space="720" w:num="1"/>
          <w:titlePg/>
          <w:docGrid w:type="linesAndChars" w:linePitch="435" w:charSpace="0"/>
        </w:sectPr>
      </w:pPr>
      <w:r>
        <w:rPr>
          <w:rFonts w:ascii="仿宋_GB2312" w:hAnsi="仿宋" w:cs="仿宋"/>
          <w:szCs w:val="32"/>
        </w:rPr>
        <w:t>日期：  年   月  日</w:t>
      </w:r>
    </w:p>
    <w:p>
      <w:pPr>
        <w:pStyle w:val="3"/>
        <w:spacing w:before="0" w:after="0" w:line="360" w:lineRule="auto"/>
        <w:contextualSpacing/>
        <w:jc w:val="center"/>
        <w:outlineLvl w:val="0"/>
        <w:rPr>
          <w:rFonts w:ascii="仿宋_GB2312" w:hAnsi="仿宋" w:eastAsia="仿宋_GB2312" w:cs="仿宋"/>
          <w:b w:val="0"/>
          <w:bCs/>
          <w:szCs w:val="32"/>
        </w:rPr>
      </w:pPr>
      <w:bookmarkStart w:id="78" w:name="_Toc440205469"/>
      <w:bookmarkStart w:id="79" w:name="_Toc440201661"/>
      <w:bookmarkStart w:id="80" w:name="_Toc12520090"/>
      <w:bookmarkStart w:id="81" w:name="_Toc19845"/>
      <w:bookmarkStart w:id="82" w:name="_Toc22829"/>
      <w:r>
        <w:rPr>
          <w:rFonts w:hint="eastAsia" w:ascii="仿宋_GB2312" w:hAnsi="仿宋" w:eastAsia="仿宋_GB2312" w:cs="仿宋"/>
          <w:b w:val="0"/>
          <w:bCs/>
          <w:szCs w:val="32"/>
        </w:rPr>
        <w:t>附件2 投标承诺书</w:t>
      </w:r>
      <w:bookmarkEnd w:id="78"/>
      <w:bookmarkEnd w:id="79"/>
      <w:bookmarkEnd w:id="80"/>
      <w:bookmarkEnd w:id="81"/>
      <w:bookmarkEnd w:id="82"/>
    </w:p>
    <w:p>
      <w:pPr>
        <w:spacing w:line="360" w:lineRule="auto"/>
        <w:contextualSpacing/>
        <w:rPr>
          <w:rFonts w:hint="default" w:ascii="仿宋_GB2312" w:hAnsi="仿宋" w:cs="仿宋"/>
          <w:snapToGrid w:val="0"/>
          <w:szCs w:val="32"/>
        </w:rPr>
      </w:pPr>
      <w:r>
        <w:rPr>
          <w:rFonts w:ascii="仿宋_GB2312" w:hAnsi="仿宋" w:cs="仿宋"/>
          <w:szCs w:val="32"/>
        </w:rPr>
        <w:t>致</w:t>
      </w:r>
      <w:r>
        <w:rPr>
          <w:rFonts w:hint="eastAsia" w:ascii="仿宋_GB2312" w:hAnsi="仿宋" w:cs="仿宋"/>
          <w:szCs w:val="32"/>
          <w:u w:val="single"/>
          <w:lang w:val="en-US" w:eastAsia="zh-CN"/>
        </w:rPr>
        <w:t>安徽省中西医结合医院</w:t>
      </w:r>
      <w:r>
        <w:rPr>
          <w:rFonts w:ascii="仿宋_GB2312" w:hAnsi="仿宋" w:cs="仿宋"/>
          <w:szCs w:val="32"/>
        </w:rPr>
        <w:t>：</w:t>
      </w:r>
    </w:p>
    <w:p>
      <w:pPr>
        <w:spacing w:line="360" w:lineRule="auto"/>
        <w:ind w:firstLine="640" w:firstLineChars="200"/>
        <w:contextualSpacing/>
        <w:rPr>
          <w:rFonts w:hint="default" w:ascii="仿宋_GB2312" w:hAnsi="仿宋" w:cs="仿宋"/>
          <w:snapToGrid w:val="0"/>
          <w:szCs w:val="32"/>
        </w:rPr>
      </w:pPr>
      <w:r>
        <w:rPr>
          <w:rFonts w:ascii="仿宋_GB2312" w:hAnsi="仿宋" w:cs="仿宋"/>
          <w:szCs w:val="32"/>
        </w:rPr>
        <w:t>关于贵单位</w:t>
      </w:r>
      <w:r>
        <w:rPr>
          <w:rFonts w:ascii="仿宋_GB2312" w:hAnsi="仿宋" w:cs="仿宋"/>
          <w:kern w:val="0"/>
          <w:szCs w:val="32"/>
        </w:rPr>
        <w:t>网络安全等级保护测评服务项目</w:t>
      </w:r>
      <w:r>
        <w:rPr>
          <w:rFonts w:ascii="仿宋_GB2312" w:hAnsi="仿宋" w:cs="仿宋"/>
          <w:szCs w:val="32"/>
        </w:rPr>
        <w:t>，我们作为投标人已熟知并愿意参加</w:t>
      </w:r>
      <w:r>
        <w:rPr>
          <w:rFonts w:ascii="仿宋_GB2312" w:hAnsi="仿宋" w:cs="仿宋"/>
          <w:kern w:val="0"/>
          <w:szCs w:val="32"/>
        </w:rPr>
        <w:t>网络安全等级保护测评服务项目</w:t>
      </w:r>
      <w:r>
        <w:rPr>
          <w:rFonts w:ascii="仿宋_GB2312" w:hAnsi="仿宋" w:cs="仿宋"/>
          <w:szCs w:val="32"/>
        </w:rPr>
        <w:t>招标文件投标并承诺如下：</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我公司愿意通过</w:t>
      </w:r>
      <w:r>
        <w:fldChar w:fldCharType="begin"/>
      </w:r>
      <w:r>
        <w:instrText xml:space="preserve"> HYPERLINK "https://baike.baidu.com/item/%E4%B9%A6%E9%9D%A2%E5%90%88%E5%90%8C/1242185" \t "_blank" </w:instrText>
      </w:r>
      <w:r>
        <w:fldChar w:fldCharType="separate"/>
      </w:r>
      <w:r>
        <w:rPr>
          <w:rFonts w:hint="eastAsia" w:ascii="仿宋_GB2312" w:hAnsi="仿宋" w:eastAsia="仿宋_GB2312" w:cs="仿宋"/>
          <w:sz w:val="32"/>
          <w:szCs w:val="32"/>
        </w:rPr>
        <w:t>书面合同</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授权贵单</w:t>
      </w:r>
      <w:r>
        <w:rPr>
          <w:rFonts w:hint="eastAsia" w:ascii="仿宋_GB2312" w:eastAsia="仿宋_GB2312"/>
          <w:sz w:val="32"/>
          <w:szCs w:val="32"/>
        </w:rPr>
        <w:t>位享有软件著作权和</w:t>
      </w:r>
      <w:r>
        <w:fldChar w:fldCharType="begin"/>
      </w:r>
      <w:r>
        <w:instrText xml:space="preserve"> HYPERLINK "https://baike.baidu.com/item/%E7%8B%AC%E5%8D%A0%E4%BD%BF%E7%94%A8%E8%AE%B8%E5%8F%AF/9582391" \t "_blank" </w:instrText>
      </w:r>
      <w:r>
        <w:fldChar w:fldCharType="separate"/>
      </w:r>
      <w:r>
        <w:rPr>
          <w:rFonts w:hint="eastAsia" w:ascii="仿宋_GB2312" w:hAnsi="仿宋" w:eastAsia="仿宋_GB2312" w:cs="仿宋"/>
          <w:sz w:val="32"/>
          <w:szCs w:val="32"/>
        </w:rPr>
        <w:t>独占使用许可</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w:t>
      </w:r>
      <w:r>
        <w:rPr>
          <w:rFonts w:hint="eastAsia" w:ascii="仿宋_GB2312" w:eastAsia="仿宋_GB2312"/>
          <w:sz w:val="32"/>
          <w:szCs w:val="32"/>
        </w:rPr>
        <w:t>我公司</w:t>
      </w:r>
      <w:r>
        <w:rPr>
          <w:rFonts w:hint="eastAsia" w:ascii="仿宋_GB2312" w:hAnsi="仿宋" w:eastAsia="仿宋_GB2312" w:cs="仿宋"/>
          <w:sz w:val="32"/>
          <w:szCs w:val="32"/>
        </w:rPr>
        <w:t>不得将网络安全等级保护测评服务（即转让软件及源代码）转让或许可第三人使用；贵公司享有该转让软件及源代码的一切知识产权，我公司不得以任何形式使用、转让、传播该软件或源代码。</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我公司将按时提交招标小组要求的投标文件中所有复印件或原件。</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我公司愿意按照贵单位的要求编制投标文件报价参加本次招标。</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我公司遵从贵单位在本次招标过程中的每一项决定。</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理解并接受招标文件所述“议标”程序，不提出任何异议并放弃一切索赔权利。</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不串通投标、围标，否则我方承诺除退回高于同期市场平均价格部分外，还无条件接受贵单位按照签订合同的金额30%的违约金（注：最低不少于1.5万元）。</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不以弄虚作假的方式骗取中标，否则我方承诺除退回高于同期市场平均价格部分外，还无条件接受贵单位按照签订合同的金额15%违约金（注：最低不少于1万元）。</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对贵单位此次招标小组组成人员不熟悉。与我公司无任何联系。我公司承诺不对上述人员进行行贿。如有上述行为，我公司自愿承担贵单位损失及1.5万元违约责任。</w:t>
      </w:r>
    </w:p>
    <w:p>
      <w:pPr>
        <w:pStyle w:val="19"/>
        <w:numPr>
          <w:ilvl w:val="0"/>
          <w:numId w:val="8"/>
        </w:numPr>
        <w:spacing w:line="360" w:lineRule="auto"/>
        <w:ind w:firstLineChars="0"/>
        <w:contextualSpacing/>
        <w:rPr>
          <w:rFonts w:ascii="仿宋_GB2312" w:hAnsi="仿宋" w:eastAsia="仿宋_GB2312" w:cs="仿宋"/>
          <w:sz w:val="32"/>
          <w:szCs w:val="32"/>
        </w:rPr>
      </w:pPr>
      <w:r>
        <w:rPr>
          <w:rFonts w:hint="eastAsia" w:ascii="仿宋_GB2312" w:hAnsi="仿宋" w:eastAsia="仿宋_GB2312" w:cs="仿宋"/>
          <w:sz w:val="32"/>
          <w:szCs w:val="32"/>
        </w:rPr>
        <w:t>提供具有市场竞争力的报价，有竞争力的价格是指提供给贵单位的价格不能明显的高于行业内的平均市场价格。中标至合同履行完毕后，若经贵单位询价或鉴定证实我方价格高于实际市场价格，我公司承诺以鉴定后的价格作为合同实际价款，且由我公司承担鉴定等费用。</w:t>
      </w:r>
    </w:p>
    <w:p>
      <w:pPr>
        <w:spacing w:line="360" w:lineRule="auto"/>
        <w:ind w:firstLine="640" w:firstLineChars="200"/>
        <w:contextualSpacing/>
        <w:rPr>
          <w:rFonts w:hint="default" w:ascii="仿宋_GB2312" w:hAnsi="仿宋" w:cs="仿宋"/>
          <w:szCs w:val="32"/>
        </w:rPr>
      </w:pPr>
      <w:r>
        <w:rPr>
          <w:rFonts w:ascii="仿宋_GB2312" w:hAnsi="仿宋" w:cs="仿宋"/>
          <w:szCs w:val="32"/>
        </w:rPr>
        <w:t>以上违约金、追索或赔偿，贵单位可以凭已经掌握的违规证据，从合同款中扣除。同时，我方愿意承担贵单位因此而造成的损失！</w:t>
      </w:r>
    </w:p>
    <w:p>
      <w:pPr>
        <w:spacing w:line="360" w:lineRule="auto"/>
        <w:ind w:firstLine="640" w:firstLineChars="200"/>
        <w:contextualSpacing/>
        <w:rPr>
          <w:rFonts w:hint="default" w:ascii="仿宋_GB2312" w:hAnsi="仿宋" w:cs="仿宋"/>
          <w:szCs w:val="32"/>
        </w:rPr>
      </w:pPr>
    </w:p>
    <w:p>
      <w:pPr>
        <w:pStyle w:val="5"/>
        <w:spacing w:line="360" w:lineRule="auto"/>
        <w:ind w:firstLine="640" w:firstLineChars="200"/>
        <w:contextualSpacing/>
        <w:rPr>
          <w:rFonts w:hint="default" w:ascii="仿宋_GB2312" w:hAnsi="仿宋" w:cs="仿宋"/>
          <w:szCs w:val="32"/>
        </w:rPr>
      </w:pPr>
      <w:r>
        <w:rPr>
          <w:rFonts w:ascii="仿宋_GB2312" w:hAnsi="仿宋" w:cs="仿宋"/>
          <w:szCs w:val="32"/>
        </w:rPr>
        <w:t xml:space="preserve">此致                   </w:t>
      </w:r>
    </w:p>
    <w:p>
      <w:pPr>
        <w:pStyle w:val="6"/>
        <w:spacing w:line="360" w:lineRule="auto"/>
        <w:ind w:left="150" w:leftChars="47"/>
        <w:contextualSpacing/>
        <w:rPr>
          <w:rFonts w:hint="default" w:ascii="仿宋_GB2312" w:hAnsi="仿宋" w:cs="仿宋"/>
          <w:szCs w:val="32"/>
        </w:rPr>
      </w:pPr>
      <w:r>
        <w:rPr>
          <w:rFonts w:ascii="仿宋_GB2312" w:hAnsi="仿宋" w:cs="仿宋"/>
          <w:szCs w:val="32"/>
        </w:rPr>
        <w:t xml:space="preserve">敬礼                            </w:t>
      </w:r>
    </w:p>
    <w:p>
      <w:pPr>
        <w:pStyle w:val="6"/>
        <w:spacing w:line="360" w:lineRule="auto"/>
        <w:ind w:left="150" w:leftChars="47"/>
        <w:contextualSpacing/>
        <w:rPr>
          <w:rFonts w:hint="default" w:ascii="仿宋_GB2312" w:hAnsi="仿宋" w:cs="仿宋"/>
          <w:szCs w:val="32"/>
        </w:rPr>
      </w:pPr>
      <w:r>
        <w:rPr>
          <w:rFonts w:ascii="仿宋_GB2312" w:hAnsi="仿宋" w:cs="仿宋"/>
          <w:szCs w:val="32"/>
        </w:rPr>
        <w:t xml:space="preserve">                          投标单位名称（加盖公章）：</w:t>
      </w:r>
    </w:p>
    <w:p>
      <w:pPr>
        <w:pStyle w:val="6"/>
        <w:spacing w:line="360" w:lineRule="auto"/>
        <w:ind w:left="150" w:leftChars="47" w:right="560" w:firstLine="1695"/>
        <w:contextualSpacing/>
        <w:jc w:val="center"/>
        <w:rPr>
          <w:rFonts w:hint="default" w:ascii="仿宋_GB2312" w:hAnsi="仿宋" w:cs="仿宋"/>
          <w:szCs w:val="32"/>
        </w:rPr>
      </w:pPr>
      <w:r>
        <w:rPr>
          <w:rFonts w:ascii="仿宋_GB2312" w:hAnsi="仿宋" w:cs="仿宋"/>
          <w:szCs w:val="32"/>
        </w:rPr>
        <w:t xml:space="preserve">  法定代表人或其授权人签字或盖章：</w:t>
      </w:r>
    </w:p>
    <w:p>
      <w:pPr>
        <w:pStyle w:val="6"/>
        <w:spacing w:line="360" w:lineRule="auto"/>
        <w:ind w:left="150" w:leftChars="47" w:firstLine="4960" w:firstLineChars="1550"/>
        <w:contextualSpacing/>
        <w:jc w:val="left"/>
        <w:rPr>
          <w:rFonts w:hint="default" w:ascii="仿宋_GB2312" w:hAnsi="仿宋" w:cs="仿宋"/>
          <w:szCs w:val="32"/>
        </w:rPr>
        <w:sectPr>
          <w:pgSz w:w="11907" w:h="16840"/>
          <w:pgMar w:top="1440" w:right="1080" w:bottom="1440" w:left="1080" w:header="851" w:footer="992" w:gutter="0"/>
          <w:pgNumType w:fmt="numberInDash"/>
          <w:cols w:space="720" w:num="1"/>
          <w:titlePg/>
          <w:docGrid w:type="linesAndChars" w:linePitch="435" w:charSpace="0"/>
        </w:sectPr>
      </w:pPr>
      <w:r>
        <w:rPr>
          <w:rFonts w:ascii="仿宋_GB2312" w:hAnsi="仿宋" w:cs="仿宋"/>
          <w:szCs w:val="32"/>
        </w:rPr>
        <w:t>日 期：   年   月  日</w:t>
      </w:r>
    </w:p>
    <w:p>
      <w:pPr>
        <w:pStyle w:val="3"/>
        <w:spacing w:before="0" w:after="0" w:line="360" w:lineRule="auto"/>
        <w:contextualSpacing/>
        <w:jc w:val="center"/>
        <w:outlineLvl w:val="0"/>
        <w:rPr>
          <w:rFonts w:ascii="仿宋_GB2312" w:hAnsi="仿宋" w:eastAsia="仿宋_GB2312" w:cs="仿宋"/>
          <w:b w:val="0"/>
          <w:bCs/>
          <w:szCs w:val="32"/>
        </w:rPr>
      </w:pPr>
      <w:bookmarkStart w:id="83" w:name="_Toc11264"/>
      <w:bookmarkStart w:id="84" w:name="_Toc440201662"/>
      <w:bookmarkStart w:id="85" w:name="_Toc12520091"/>
      <w:bookmarkStart w:id="86" w:name="_Toc440205470"/>
      <w:bookmarkStart w:id="87" w:name="_Toc8645"/>
      <w:r>
        <w:rPr>
          <w:rFonts w:hint="eastAsia" w:ascii="仿宋_GB2312" w:hAnsi="仿宋" w:eastAsia="仿宋_GB2312" w:cs="仿宋"/>
          <w:b w:val="0"/>
          <w:bCs/>
          <w:szCs w:val="32"/>
        </w:rPr>
        <w:t>附件3 法定代表人授权委托书</w:t>
      </w:r>
      <w:bookmarkEnd w:id="83"/>
      <w:bookmarkEnd w:id="84"/>
      <w:bookmarkEnd w:id="85"/>
      <w:bookmarkEnd w:id="86"/>
      <w:bookmarkEnd w:id="87"/>
    </w:p>
    <w:p>
      <w:pPr>
        <w:adjustRightInd w:val="0"/>
        <w:spacing w:line="360" w:lineRule="auto"/>
        <w:contextualSpacing/>
        <w:textAlignment w:val="baseline"/>
        <w:rPr>
          <w:rStyle w:val="20"/>
          <w:rFonts w:hint="default" w:ascii="仿宋_GB2312" w:hAnsi="仿宋" w:eastAsia="仿宋_GB2312" w:cs="仿宋"/>
          <w:b w:val="0"/>
          <w:bCs/>
          <w:szCs w:val="32"/>
        </w:rPr>
      </w:pPr>
    </w:p>
    <w:p>
      <w:pPr>
        <w:spacing w:line="360" w:lineRule="auto"/>
        <w:contextualSpacing/>
        <w:rPr>
          <w:rFonts w:hint="default" w:ascii="仿宋_GB2312" w:hAnsi="仿宋" w:cs="仿宋"/>
          <w:snapToGrid w:val="0"/>
          <w:szCs w:val="32"/>
        </w:rPr>
      </w:pPr>
      <w:r>
        <w:rPr>
          <w:rFonts w:ascii="仿宋_GB2312" w:hAnsi="仿宋" w:cs="仿宋"/>
          <w:szCs w:val="32"/>
        </w:rPr>
        <w:t>致</w:t>
      </w:r>
      <w:r>
        <w:rPr>
          <w:rFonts w:hint="eastAsia" w:ascii="仿宋_GB2312" w:hAnsi="仿宋" w:cs="仿宋"/>
          <w:szCs w:val="32"/>
          <w:u w:val="single"/>
          <w:lang w:val="en-US" w:eastAsia="zh-CN"/>
        </w:rPr>
        <w:t>安徽省中西医结合医院</w:t>
      </w:r>
      <w:r>
        <w:rPr>
          <w:rFonts w:ascii="仿宋_GB2312" w:hAnsi="仿宋" w:cs="仿宋"/>
          <w:szCs w:val="32"/>
        </w:rPr>
        <w:t>：</w:t>
      </w:r>
    </w:p>
    <w:p>
      <w:pPr>
        <w:spacing w:line="360" w:lineRule="auto"/>
        <w:ind w:left="160" w:leftChars="50" w:firstLine="480" w:firstLineChars="150"/>
        <w:contextualSpacing/>
        <w:rPr>
          <w:rFonts w:hint="default" w:ascii="仿宋_GB2312" w:hAnsi="仿宋" w:cs="仿宋"/>
          <w:snapToGrid w:val="0"/>
          <w:szCs w:val="32"/>
        </w:rPr>
      </w:pPr>
      <w:r>
        <w:rPr>
          <w:rFonts w:ascii="仿宋_GB2312" w:hAnsi="仿宋" w:cs="仿宋"/>
          <w:szCs w:val="32"/>
        </w:rPr>
        <w:t>我</w:t>
      </w:r>
      <w:r>
        <w:rPr>
          <w:rFonts w:ascii="仿宋_GB2312" w:hAnsi="仿宋" w:cs="仿宋"/>
          <w:szCs w:val="32"/>
          <w:u w:val="single"/>
        </w:rPr>
        <w:t>（法定代表人姓名）</w:t>
      </w:r>
      <w:r>
        <w:rPr>
          <w:rFonts w:ascii="仿宋_GB2312" w:hAnsi="仿宋" w:cs="仿宋"/>
          <w:szCs w:val="32"/>
        </w:rPr>
        <w:t>为</w:t>
      </w:r>
      <w:r>
        <w:rPr>
          <w:rFonts w:hint="default" w:ascii="仿宋_GB2312" w:hAnsi="仿宋" w:cs="仿宋"/>
          <w:szCs w:val="32"/>
          <w:u w:val="single"/>
        </w:rPr>
        <w:t>公司名称</w:t>
      </w:r>
      <w:r>
        <w:rPr>
          <w:rFonts w:ascii="仿宋_GB2312" w:hAnsi="仿宋" w:cs="仿宋"/>
          <w:szCs w:val="32"/>
        </w:rPr>
        <w:t>法定代表人，特授权</w:t>
      </w:r>
      <w:r>
        <w:rPr>
          <w:rFonts w:ascii="仿宋_GB2312" w:hAnsi="仿宋" w:cs="仿宋"/>
          <w:szCs w:val="32"/>
          <w:u w:val="single"/>
        </w:rPr>
        <w:t xml:space="preserve"> （授权代理人姓名</w:t>
      </w:r>
      <w:r>
        <w:rPr>
          <w:rFonts w:hint="default" w:ascii="仿宋_GB2312" w:hAnsi="仿宋" w:cs="仿宋"/>
          <w:szCs w:val="32"/>
          <w:u w:val="single"/>
        </w:rPr>
        <w:t>、职务）</w:t>
      </w:r>
      <w:r>
        <w:rPr>
          <w:rFonts w:ascii="仿宋_GB2312" w:hAnsi="仿宋" w:cs="仿宋"/>
          <w:szCs w:val="32"/>
        </w:rPr>
        <w:t>作为授权代理人，全权代表本公司参加的投标活动，全权处理投标活动中的一切事宜。</w:t>
      </w:r>
    </w:p>
    <w:p>
      <w:pPr>
        <w:adjustRightInd w:val="0"/>
        <w:spacing w:line="360" w:lineRule="auto"/>
        <w:ind w:firstLine="640" w:firstLineChars="200"/>
        <w:contextualSpacing/>
        <w:jc w:val="left"/>
        <w:textAlignment w:val="baseline"/>
        <w:rPr>
          <w:rFonts w:hint="default" w:ascii="仿宋_GB2312" w:hAnsi="仿宋" w:cs="仿宋"/>
          <w:kern w:val="0"/>
          <w:szCs w:val="32"/>
        </w:rPr>
      </w:pPr>
      <w:r>
        <w:rPr>
          <w:rFonts w:ascii="仿宋_GB2312" w:hAnsi="仿宋" w:cs="仿宋"/>
          <w:szCs w:val="32"/>
        </w:rPr>
        <w:t>授权代理人</w:t>
      </w:r>
      <w:r>
        <w:rPr>
          <w:rFonts w:ascii="仿宋_GB2312" w:hAnsi="仿宋" w:cs="仿宋"/>
          <w:kern w:val="0"/>
          <w:szCs w:val="32"/>
        </w:rPr>
        <w:t>身份证号码：。</w:t>
      </w:r>
    </w:p>
    <w:p>
      <w:pPr>
        <w:spacing w:line="360" w:lineRule="auto"/>
        <w:ind w:firstLine="640" w:firstLineChars="200"/>
        <w:contextualSpacing/>
        <w:rPr>
          <w:rFonts w:hint="default" w:ascii="仿宋_GB2312" w:hAnsi="仿宋" w:cs="仿宋"/>
          <w:szCs w:val="32"/>
        </w:rPr>
      </w:pPr>
      <w:r>
        <w:rPr>
          <w:rFonts w:ascii="仿宋_GB2312" w:hAnsi="仿宋" w:cs="仿宋"/>
          <w:szCs w:val="32"/>
        </w:rPr>
        <w:t>本授权书于年月日签字生效。</w:t>
      </w:r>
    </w:p>
    <w:p>
      <w:pPr>
        <w:spacing w:line="360" w:lineRule="auto"/>
        <w:ind w:firstLine="822" w:firstLineChars="257"/>
        <w:contextualSpacing/>
        <w:rPr>
          <w:rFonts w:hint="default" w:ascii="仿宋_GB2312" w:hAnsi="仿宋" w:cs="仿宋"/>
          <w:szCs w:val="32"/>
        </w:rPr>
      </w:pPr>
    </w:p>
    <w:p>
      <w:pPr>
        <w:spacing w:line="360" w:lineRule="auto"/>
        <w:contextualSpacing/>
        <w:rPr>
          <w:rFonts w:hint="default" w:ascii="仿宋_GB2312" w:hAnsi="仿宋" w:cs="仿宋"/>
          <w:szCs w:val="32"/>
        </w:rPr>
      </w:pPr>
    </w:p>
    <w:p>
      <w:pPr>
        <w:pStyle w:val="8"/>
        <w:spacing w:line="360" w:lineRule="auto"/>
        <w:ind w:firstLine="2720" w:firstLineChars="850"/>
        <w:contextualSpacing/>
        <w:rPr>
          <w:rFonts w:hint="default" w:ascii="仿宋_GB2312" w:hAnsi="仿宋" w:eastAsia="仿宋_GB2312" w:cs="仿宋"/>
          <w:sz w:val="32"/>
          <w:szCs w:val="32"/>
        </w:rPr>
      </w:pPr>
      <w:r>
        <w:rPr>
          <w:rFonts w:ascii="仿宋_GB2312" w:hAnsi="仿宋" w:eastAsia="仿宋_GB2312" w:cs="仿宋"/>
          <w:sz w:val="32"/>
          <w:szCs w:val="32"/>
        </w:rPr>
        <w:t>授权人：（公章）</w:t>
      </w:r>
    </w:p>
    <w:p>
      <w:pPr>
        <w:pStyle w:val="8"/>
        <w:spacing w:line="360" w:lineRule="auto"/>
        <w:ind w:firstLine="2720" w:firstLineChars="850"/>
        <w:contextualSpacing/>
        <w:rPr>
          <w:rFonts w:hint="default" w:ascii="仿宋_GB2312" w:hAnsi="仿宋" w:eastAsia="仿宋_GB2312" w:cs="仿宋"/>
          <w:spacing w:val="20"/>
          <w:sz w:val="32"/>
          <w:szCs w:val="32"/>
          <w:u w:val="single"/>
        </w:rPr>
      </w:pPr>
      <w:r>
        <w:rPr>
          <w:rFonts w:ascii="仿宋_GB2312" w:hAnsi="仿宋" w:eastAsia="仿宋_GB2312" w:cs="仿宋"/>
          <w:sz w:val="32"/>
          <w:szCs w:val="32"/>
        </w:rPr>
        <w:t>法定代表人：（签字）</w:t>
      </w:r>
    </w:p>
    <w:p>
      <w:pPr>
        <w:pStyle w:val="8"/>
        <w:spacing w:line="360" w:lineRule="auto"/>
        <w:ind w:firstLine="2720" w:firstLineChars="850"/>
        <w:contextualSpacing/>
        <w:rPr>
          <w:rFonts w:hint="default" w:ascii="仿宋_GB2312" w:hAnsi="仿宋" w:eastAsia="仿宋_GB2312" w:cs="仿宋"/>
          <w:sz w:val="32"/>
          <w:szCs w:val="32"/>
          <w:u w:val="single"/>
        </w:rPr>
      </w:pPr>
      <w:r>
        <w:rPr>
          <w:rFonts w:ascii="仿宋_GB2312" w:hAnsi="仿宋" w:eastAsia="仿宋_GB2312" w:cs="仿宋"/>
          <w:sz w:val="32"/>
          <w:szCs w:val="32"/>
        </w:rPr>
        <w:t>职务：</w:t>
      </w:r>
    </w:p>
    <w:p>
      <w:pPr>
        <w:pStyle w:val="8"/>
        <w:spacing w:line="360" w:lineRule="auto"/>
        <w:ind w:firstLine="2720" w:firstLineChars="850"/>
        <w:contextualSpacing/>
        <w:rPr>
          <w:rFonts w:hint="default" w:ascii="仿宋_GB2312" w:hAnsi="仿宋" w:eastAsia="仿宋_GB2312" w:cs="仿宋"/>
          <w:sz w:val="32"/>
          <w:szCs w:val="32"/>
          <w:u w:val="single"/>
        </w:rPr>
      </w:pPr>
      <w:r>
        <w:rPr>
          <w:rFonts w:ascii="仿宋_GB2312" w:hAnsi="仿宋" w:eastAsia="仿宋_GB2312" w:cs="仿宋"/>
          <w:sz w:val="32"/>
          <w:szCs w:val="32"/>
        </w:rPr>
        <w:t>日期：年月日</w:t>
      </w:r>
    </w:p>
    <w:p>
      <w:pPr>
        <w:pStyle w:val="8"/>
        <w:spacing w:line="360" w:lineRule="auto"/>
        <w:contextualSpacing/>
        <w:rPr>
          <w:rFonts w:hint="default" w:ascii="仿宋_GB2312" w:hAnsi="仿宋" w:eastAsia="仿宋_GB2312" w:cs="仿宋"/>
          <w:spacing w:val="20"/>
          <w:sz w:val="32"/>
          <w:szCs w:val="32"/>
          <w:u w:val="single"/>
        </w:rPr>
      </w:pPr>
    </w:p>
    <w:p>
      <w:pPr>
        <w:pStyle w:val="8"/>
        <w:spacing w:line="360" w:lineRule="auto"/>
        <w:ind w:firstLine="2720" w:firstLineChars="850"/>
        <w:contextualSpacing/>
        <w:rPr>
          <w:rFonts w:hint="default" w:ascii="仿宋_GB2312" w:hAnsi="仿宋" w:eastAsia="仿宋_GB2312" w:cs="仿宋"/>
          <w:spacing w:val="20"/>
          <w:sz w:val="32"/>
          <w:szCs w:val="32"/>
          <w:u w:val="single"/>
        </w:rPr>
      </w:pPr>
      <w:r>
        <w:rPr>
          <w:rFonts w:ascii="仿宋_GB2312" w:hAnsi="仿宋" w:eastAsia="仿宋_GB2312" w:cs="仿宋"/>
          <w:sz w:val="32"/>
          <w:szCs w:val="32"/>
        </w:rPr>
        <w:t>授权代理人：（签字）</w:t>
      </w:r>
    </w:p>
    <w:p>
      <w:pPr>
        <w:pStyle w:val="8"/>
        <w:spacing w:line="360" w:lineRule="auto"/>
        <w:ind w:firstLine="2720" w:firstLineChars="850"/>
        <w:contextualSpacing/>
        <w:rPr>
          <w:rFonts w:hint="default" w:ascii="仿宋_GB2312" w:hAnsi="仿宋" w:eastAsia="仿宋_GB2312" w:cs="仿宋"/>
          <w:sz w:val="32"/>
          <w:szCs w:val="32"/>
          <w:u w:val="single"/>
        </w:rPr>
      </w:pPr>
      <w:r>
        <w:rPr>
          <w:rFonts w:ascii="仿宋_GB2312" w:hAnsi="仿宋" w:eastAsia="仿宋_GB2312" w:cs="仿宋"/>
          <w:sz w:val="32"/>
          <w:szCs w:val="32"/>
        </w:rPr>
        <w:t>职务：</w:t>
      </w:r>
    </w:p>
    <w:p>
      <w:pPr>
        <w:pStyle w:val="8"/>
        <w:adjustRightInd w:val="0"/>
        <w:spacing w:line="360" w:lineRule="auto"/>
        <w:ind w:firstLine="2720" w:firstLineChars="850"/>
        <w:contextualSpacing/>
        <w:rPr>
          <w:rFonts w:hint="default" w:ascii="仿宋_GB2312" w:hAnsi="仿宋" w:eastAsia="仿宋_GB2312" w:cs="仿宋"/>
          <w:sz w:val="32"/>
          <w:szCs w:val="32"/>
        </w:rPr>
        <w:sectPr>
          <w:pgSz w:w="11907" w:h="16840"/>
          <w:pgMar w:top="1440" w:right="1080" w:bottom="1440" w:left="1080" w:header="851" w:footer="992" w:gutter="0"/>
          <w:pgNumType w:fmt="numberInDash"/>
          <w:cols w:space="720" w:num="1"/>
          <w:titlePg/>
          <w:docGrid w:type="linesAndChars" w:linePitch="435" w:charSpace="0"/>
        </w:sectPr>
      </w:pPr>
      <w:r>
        <w:rPr>
          <w:rFonts w:ascii="仿宋_GB2312" w:hAnsi="仿宋" w:eastAsia="仿宋_GB2312" w:cs="仿宋"/>
          <w:sz w:val="32"/>
          <w:szCs w:val="32"/>
        </w:rPr>
        <w:t>日期：年月日</w:t>
      </w:r>
    </w:p>
    <w:p>
      <w:pPr>
        <w:pStyle w:val="3"/>
        <w:spacing w:before="0" w:after="0" w:line="360" w:lineRule="auto"/>
        <w:contextualSpacing/>
        <w:jc w:val="center"/>
        <w:outlineLvl w:val="0"/>
        <w:rPr>
          <w:rFonts w:ascii="仿宋_GB2312" w:hAnsi="仿宋" w:eastAsia="仿宋_GB2312" w:cs="仿宋"/>
          <w:b w:val="0"/>
          <w:bCs/>
          <w:szCs w:val="32"/>
        </w:rPr>
      </w:pPr>
      <w:bookmarkStart w:id="88" w:name="_Toc18905"/>
      <w:bookmarkStart w:id="89" w:name="_Toc12520092"/>
      <w:bookmarkStart w:id="90" w:name="_Toc440205471"/>
      <w:bookmarkStart w:id="91" w:name="_Toc27452"/>
      <w:bookmarkStart w:id="92" w:name="_Toc440201663"/>
      <w:r>
        <w:rPr>
          <w:rFonts w:hint="eastAsia" w:ascii="仿宋_GB2312" w:hAnsi="仿宋" w:eastAsia="仿宋_GB2312" w:cs="仿宋"/>
          <w:b w:val="0"/>
          <w:bCs/>
          <w:szCs w:val="32"/>
        </w:rPr>
        <w:t>附件4 投标人声明</w:t>
      </w:r>
      <w:bookmarkEnd w:id="88"/>
      <w:bookmarkEnd w:id="89"/>
      <w:bookmarkEnd w:id="90"/>
      <w:bookmarkEnd w:id="91"/>
      <w:bookmarkEnd w:id="92"/>
    </w:p>
    <w:p>
      <w:pPr>
        <w:spacing w:line="360" w:lineRule="auto"/>
        <w:contextualSpacing/>
        <w:rPr>
          <w:rFonts w:hint="default" w:ascii="仿宋_GB2312" w:hAnsi="仿宋" w:cs="仿宋"/>
          <w:szCs w:val="32"/>
        </w:rPr>
      </w:pPr>
      <w:r>
        <w:rPr>
          <w:rFonts w:ascii="仿宋_GB2312" w:hAnsi="仿宋" w:cs="仿宋"/>
          <w:szCs w:val="32"/>
        </w:rPr>
        <w:t>致</w:t>
      </w:r>
      <w:r>
        <w:rPr>
          <w:rFonts w:hint="eastAsia" w:ascii="仿宋_GB2312" w:hAnsi="仿宋" w:cs="仿宋"/>
          <w:szCs w:val="32"/>
          <w:u w:val="single"/>
          <w:lang w:val="en-US" w:eastAsia="zh-CN"/>
        </w:rPr>
        <w:t>安徽省中西医结合医院</w:t>
      </w:r>
      <w:r>
        <w:rPr>
          <w:rFonts w:ascii="仿宋_GB2312" w:hAnsi="仿宋" w:cs="仿宋"/>
          <w:szCs w:val="32"/>
        </w:rPr>
        <w:t>：</w:t>
      </w:r>
    </w:p>
    <w:p>
      <w:pPr>
        <w:spacing w:line="360" w:lineRule="auto"/>
        <w:ind w:firstLine="640" w:firstLineChars="200"/>
        <w:contextualSpacing/>
        <w:rPr>
          <w:rFonts w:hint="default" w:ascii="仿宋_GB2312" w:hAnsi="仿宋" w:cs="仿宋"/>
          <w:szCs w:val="32"/>
        </w:rPr>
      </w:pPr>
      <w:r>
        <w:rPr>
          <w:rFonts w:ascii="仿宋_GB2312" w:hAnsi="仿宋" w:cs="仿宋"/>
          <w:szCs w:val="32"/>
        </w:rPr>
        <w:t>关于贵方</w:t>
      </w:r>
      <w:r>
        <w:rPr>
          <w:rFonts w:ascii="仿宋_GB2312" w:hAnsi="仿宋" w:cs="仿宋"/>
          <w:kern w:val="0"/>
          <w:szCs w:val="32"/>
        </w:rPr>
        <w:t>网络安全等级保护测评服务项目</w:t>
      </w:r>
      <w:r>
        <w:rPr>
          <w:rFonts w:ascii="仿宋_GB2312" w:hAnsi="仿宋" w:cs="仿宋"/>
          <w:szCs w:val="32"/>
        </w:rPr>
        <w:t>邀请招标采购文件，我们作为投标人已熟知全部内容并愿意参加投标，保证投标文件中所提供的所有文件资料是真实的和准确的。我们完全响应招标文件，若投标文件的响应内容有与招标文件不一致的地方，以招标文件为准。</w:t>
      </w:r>
    </w:p>
    <w:p>
      <w:pPr>
        <w:spacing w:line="360" w:lineRule="auto"/>
        <w:ind w:firstLine="640" w:firstLineChars="200"/>
        <w:contextualSpacing/>
        <w:rPr>
          <w:rFonts w:hint="default" w:ascii="仿宋_GB2312" w:hAnsi="仿宋" w:cs="仿宋"/>
          <w:szCs w:val="32"/>
        </w:rPr>
      </w:pPr>
      <w:r>
        <w:rPr>
          <w:rFonts w:ascii="仿宋_GB2312" w:hAnsi="仿宋" w:cs="仿宋"/>
          <w:szCs w:val="32"/>
        </w:rPr>
        <w:t>招标人在招标文件中提到需要投标人提供的所有信息资料已经在投标文件中全部提供。</w:t>
      </w:r>
    </w:p>
    <w:p>
      <w:pPr>
        <w:spacing w:line="360" w:lineRule="auto"/>
        <w:ind w:firstLine="640" w:firstLineChars="200"/>
        <w:contextualSpacing/>
        <w:rPr>
          <w:rFonts w:hint="default" w:ascii="仿宋_GB2312" w:hAnsi="仿宋" w:cs="仿宋"/>
          <w:szCs w:val="32"/>
        </w:rPr>
      </w:pPr>
      <w:r>
        <w:rPr>
          <w:rFonts w:ascii="仿宋_GB2312" w:hAnsi="仿宋" w:cs="仿宋"/>
          <w:szCs w:val="32"/>
        </w:rPr>
        <w:t>我们作为投标人保证将要提供给招标人的软件系统，不涉及第三者主张任何权利，同时与国家现行法律法规没有抵触，也不存在任何法律纠纷及诉讼。</w:t>
      </w:r>
    </w:p>
    <w:p>
      <w:pPr>
        <w:pStyle w:val="5"/>
        <w:spacing w:line="360" w:lineRule="auto"/>
        <w:ind w:firstLine="640" w:firstLineChars="200"/>
        <w:contextualSpacing/>
        <w:rPr>
          <w:rFonts w:hint="default" w:ascii="仿宋_GB2312" w:hAnsi="仿宋" w:cs="仿宋"/>
          <w:szCs w:val="32"/>
        </w:rPr>
      </w:pPr>
    </w:p>
    <w:p>
      <w:pPr>
        <w:pStyle w:val="5"/>
        <w:spacing w:line="360" w:lineRule="auto"/>
        <w:ind w:firstLine="640" w:firstLineChars="200"/>
        <w:contextualSpacing/>
        <w:rPr>
          <w:rFonts w:hint="default" w:ascii="仿宋_GB2312" w:hAnsi="仿宋" w:cs="仿宋"/>
          <w:szCs w:val="32"/>
        </w:rPr>
      </w:pPr>
      <w:r>
        <w:rPr>
          <w:rFonts w:ascii="仿宋_GB2312" w:hAnsi="仿宋" w:cs="仿宋"/>
          <w:szCs w:val="32"/>
        </w:rPr>
        <w:t xml:space="preserve">此致   </w:t>
      </w:r>
    </w:p>
    <w:p>
      <w:pPr>
        <w:pStyle w:val="6"/>
        <w:spacing w:line="360" w:lineRule="auto"/>
        <w:ind w:left="0" w:leftChars="0"/>
        <w:contextualSpacing/>
        <w:rPr>
          <w:rFonts w:hint="default" w:ascii="仿宋_GB2312" w:hAnsi="仿宋" w:cs="仿宋"/>
          <w:szCs w:val="32"/>
        </w:rPr>
      </w:pPr>
      <w:r>
        <w:rPr>
          <w:rFonts w:ascii="仿宋_GB2312" w:hAnsi="仿宋" w:cs="仿宋"/>
          <w:szCs w:val="32"/>
        </w:rPr>
        <w:t>敬礼</w:t>
      </w:r>
    </w:p>
    <w:p>
      <w:pPr>
        <w:pStyle w:val="6"/>
        <w:spacing w:line="360" w:lineRule="auto"/>
        <w:ind w:left="6720"/>
        <w:contextualSpacing/>
        <w:rPr>
          <w:rFonts w:hint="default" w:ascii="仿宋_GB2312" w:hAnsi="仿宋" w:cs="仿宋"/>
          <w:szCs w:val="32"/>
        </w:rPr>
      </w:pPr>
    </w:p>
    <w:p>
      <w:pPr>
        <w:spacing w:line="360" w:lineRule="auto"/>
        <w:contextualSpacing/>
        <w:rPr>
          <w:rFonts w:hint="default" w:ascii="仿宋_GB2312" w:hAnsi="仿宋" w:cs="仿宋"/>
          <w:szCs w:val="32"/>
        </w:rPr>
      </w:pPr>
      <w:r>
        <w:rPr>
          <w:rFonts w:ascii="仿宋_GB2312" w:hAnsi="仿宋" w:cs="仿宋"/>
          <w:szCs w:val="32"/>
        </w:rPr>
        <w:t xml:space="preserve">                        投标单位名称（加盖公章）：</w:t>
      </w:r>
    </w:p>
    <w:p>
      <w:pPr>
        <w:spacing w:line="360" w:lineRule="auto"/>
        <w:ind w:firstLine="3814" w:firstLineChars="1192"/>
        <w:contextualSpacing/>
        <w:rPr>
          <w:rFonts w:hint="default" w:ascii="仿宋_GB2312" w:hAnsi="仿宋" w:cs="仿宋"/>
          <w:szCs w:val="32"/>
        </w:rPr>
      </w:pPr>
      <w:r>
        <w:rPr>
          <w:rFonts w:ascii="仿宋_GB2312" w:hAnsi="仿宋" w:cs="仿宋"/>
          <w:szCs w:val="32"/>
        </w:rPr>
        <w:t>法定代表人或其授权人签字或盖章：</w:t>
      </w:r>
    </w:p>
    <w:p>
      <w:pPr>
        <w:spacing w:line="360" w:lineRule="auto"/>
        <w:ind w:firstLine="3840" w:firstLineChars="1200"/>
        <w:contextualSpacing/>
        <w:rPr>
          <w:rFonts w:hint="default" w:ascii="仿宋_GB2312" w:hAnsi="仿宋" w:cs="仿宋"/>
          <w:szCs w:val="32"/>
        </w:rPr>
        <w:sectPr>
          <w:pgSz w:w="11907" w:h="16840"/>
          <w:pgMar w:top="1440" w:right="1080" w:bottom="1440" w:left="1080" w:header="851" w:footer="992" w:gutter="0"/>
          <w:pgNumType w:fmt="numberInDash"/>
          <w:cols w:space="720" w:num="1"/>
          <w:titlePg/>
          <w:docGrid w:type="linesAndChars" w:linePitch="435" w:charSpace="0"/>
        </w:sectPr>
      </w:pPr>
      <w:r>
        <w:rPr>
          <w:rFonts w:ascii="仿宋_GB2312" w:hAnsi="仿宋" w:cs="仿宋"/>
          <w:szCs w:val="32"/>
        </w:rPr>
        <w:t>日期：      年   月   日</w:t>
      </w:r>
    </w:p>
    <w:p>
      <w:pPr>
        <w:pStyle w:val="3"/>
        <w:spacing w:before="0" w:after="0" w:line="360" w:lineRule="auto"/>
        <w:contextualSpacing/>
        <w:jc w:val="center"/>
        <w:outlineLvl w:val="0"/>
        <w:rPr>
          <w:rFonts w:ascii="仿宋_GB2312" w:hAnsi="仿宋" w:eastAsia="仿宋_GB2312" w:cs="仿宋"/>
          <w:b w:val="0"/>
          <w:bCs/>
          <w:szCs w:val="32"/>
        </w:rPr>
      </w:pPr>
      <w:bookmarkStart w:id="93" w:name="_Toc12520093"/>
      <w:bookmarkStart w:id="94" w:name="_Toc20530"/>
      <w:bookmarkStart w:id="95" w:name="_Toc22071"/>
      <w:r>
        <w:rPr>
          <w:rFonts w:hint="eastAsia" w:ascii="仿宋_GB2312" w:hAnsi="仿宋" w:eastAsia="仿宋_GB2312" w:cs="仿宋"/>
          <w:b w:val="0"/>
          <w:bCs/>
          <w:szCs w:val="32"/>
        </w:rPr>
        <w:t>附件5 投标报价表</w:t>
      </w:r>
      <w:bookmarkEnd w:id="93"/>
      <w:bookmarkEnd w:id="94"/>
      <w:bookmarkEnd w:id="95"/>
    </w:p>
    <w:p>
      <w:pPr>
        <w:tabs>
          <w:tab w:val="left" w:pos="1950"/>
        </w:tabs>
        <w:spacing w:line="360" w:lineRule="auto"/>
        <w:contextualSpacing/>
        <w:rPr>
          <w:rFonts w:hint="default" w:ascii="仿宋_GB2312" w:hAnsi="仿宋" w:cs="楷体_GB2312"/>
          <w:bCs/>
          <w:szCs w:val="32"/>
        </w:rPr>
      </w:pPr>
      <w:r>
        <w:rPr>
          <w:rFonts w:ascii="仿宋_GB2312" w:hAnsi="仿宋" w:cs="楷体_GB2312"/>
          <w:bCs/>
          <w:szCs w:val="32"/>
        </w:rPr>
        <w:t>一、 一般要求</w:t>
      </w:r>
      <w:r>
        <w:rPr>
          <w:rFonts w:ascii="仿宋_GB2312" w:hAnsi="仿宋" w:cs="楷体_GB2312"/>
          <w:bCs/>
          <w:szCs w:val="32"/>
        </w:rPr>
        <w:tab/>
      </w:r>
    </w:p>
    <w:p>
      <w:pPr>
        <w:spacing w:line="360" w:lineRule="auto"/>
        <w:ind w:firstLine="640" w:firstLineChars="200"/>
        <w:contextualSpacing/>
        <w:rPr>
          <w:rFonts w:hint="default" w:ascii="仿宋_GB2312" w:hAnsi="仿宋" w:cs="楷体_GB2312"/>
          <w:szCs w:val="32"/>
        </w:rPr>
      </w:pPr>
      <w:r>
        <w:rPr>
          <w:rFonts w:ascii="仿宋_GB2312" w:hAnsi="仿宋" w:cs="楷体_GB2312"/>
          <w:szCs w:val="32"/>
        </w:rPr>
        <w:t>1、</w:t>
      </w:r>
      <w:r>
        <w:rPr>
          <w:rFonts w:ascii="仿宋_GB2312" w:hAnsi="宋体"/>
          <w:color w:val="000000"/>
          <w:szCs w:val="32"/>
        </w:rPr>
        <w:t>表中所列服务为对应本项目需求的全部服务内容。如有漏项或缺项，投标供应商承担全部责任。</w:t>
      </w:r>
    </w:p>
    <w:p>
      <w:pPr>
        <w:spacing w:line="360" w:lineRule="auto"/>
        <w:ind w:firstLine="640" w:firstLineChars="200"/>
        <w:contextualSpacing/>
        <w:rPr>
          <w:rFonts w:hint="default" w:ascii="仿宋_GB2312" w:hAnsi="仿宋" w:cs="楷体_GB2312"/>
          <w:szCs w:val="32"/>
        </w:rPr>
      </w:pPr>
      <w:r>
        <w:rPr>
          <w:rFonts w:ascii="仿宋_GB2312" w:hAnsi="仿宋" w:cs="楷体_GB2312"/>
          <w:szCs w:val="32"/>
        </w:rPr>
        <w:t>2、当分项价之和与总价不符时，以分项价为准。如有优惠条件，优惠条件要在分项价中体现。</w:t>
      </w:r>
    </w:p>
    <w:p>
      <w:pPr>
        <w:spacing w:line="360" w:lineRule="auto"/>
        <w:ind w:firstLine="640" w:firstLineChars="200"/>
        <w:contextualSpacing/>
        <w:rPr>
          <w:rFonts w:hint="default" w:ascii="仿宋_GB2312" w:hAnsi="仿宋" w:cs="楷体_GB2312"/>
          <w:szCs w:val="32"/>
        </w:rPr>
      </w:pPr>
      <w:r>
        <w:rPr>
          <w:rFonts w:ascii="仿宋_GB2312" w:hAnsi="仿宋" w:cs="楷体_GB2312"/>
          <w:szCs w:val="32"/>
        </w:rPr>
        <w:t>3、报价币种为人民币。</w:t>
      </w:r>
    </w:p>
    <w:p>
      <w:pPr>
        <w:spacing w:line="360" w:lineRule="auto"/>
        <w:ind w:firstLine="640" w:firstLineChars="200"/>
        <w:contextualSpacing/>
        <w:rPr>
          <w:rFonts w:hint="default" w:ascii="仿宋_GB2312" w:hAnsi="仿宋" w:cs="楷体_GB2312"/>
          <w:szCs w:val="32"/>
        </w:rPr>
      </w:pPr>
      <w:r>
        <w:rPr>
          <w:rFonts w:ascii="仿宋_GB2312" w:hAnsi="仿宋" w:cs="楷体_GB2312"/>
          <w:szCs w:val="32"/>
        </w:rPr>
        <w:t>4、报价表中的报价含税，并且为固定不变价格。</w:t>
      </w:r>
    </w:p>
    <w:p>
      <w:pPr>
        <w:spacing w:line="360" w:lineRule="auto"/>
        <w:ind w:firstLine="640" w:firstLineChars="200"/>
        <w:contextualSpacing/>
        <w:rPr>
          <w:rFonts w:hint="default" w:ascii="仿宋_GB2312" w:hAnsi="仿宋" w:cs="楷体_GB2312"/>
          <w:szCs w:val="32"/>
        </w:rPr>
      </w:pPr>
      <w:r>
        <w:rPr>
          <w:rFonts w:ascii="仿宋_GB2312" w:hAnsi="宋体"/>
          <w:color w:val="000000"/>
          <w:szCs w:val="32"/>
        </w:rPr>
        <w:t>5、投标人根据项目实际填写，表中单项，项目招标要求不涉及的可留空或自行调整。</w:t>
      </w:r>
    </w:p>
    <w:p>
      <w:pPr>
        <w:spacing w:line="360" w:lineRule="auto"/>
        <w:ind w:firstLine="640" w:firstLineChars="200"/>
        <w:contextualSpacing/>
        <w:rPr>
          <w:rFonts w:hint="default" w:ascii="仿宋_GB2312" w:hAnsi="仿宋" w:cs="楷体_GB2312"/>
          <w:szCs w:val="32"/>
        </w:rPr>
      </w:pPr>
      <w:r>
        <w:rPr>
          <w:rFonts w:ascii="仿宋_GB2312" w:hAnsi="仿宋" w:cs="楷体_GB2312"/>
          <w:szCs w:val="32"/>
        </w:rPr>
        <w:t>6、</w:t>
      </w:r>
      <w:r>
        <w:rPr>
          <w:rFonts w:ascii="仿宋_GB2312" w:hAnsi="宋体"/>
          <w:color w:val="000000"/>
          <w:szCs w:val="32"/>
        </w:rPr>
        <w:t>表格不够可以自行加页；具体配置请投标人填写完全，没有填写完全的则按无此配置评标。</w:t>
      </w:r>
    </w:p>
    <w:p>
      <w:pPr>
        <w:spacing w:line="360" w:lineRule="auto"/>
        <w:contextualSpacing/>
        <w:rPr>
          <w:rFonts w:hint="default" w:ascii="仿宋_GB2312" w:hAnsi="仿宋" w:cs="楷体_GB2312"/>
          <w:bCs/>
          <w:szCs w:val="32"/>
        </w:rPr>
      </w:pPr>
      <w:r>
        <w:rPr>
          <w:rFonts w:ascii="仿宋_GB2312" w:hAnsi="仿宋" w:cs="楷体_GB2312"/>
          <w:bCs/>
          <w:szCs w:val="32"/>
        </w:rPr>
        <w:t>二 、投标报价表</w:t>
      </w:r>
    </w:p>
    <w:tbl>
      <w:tblPr>
        <w:tblStyle w:val="13"/>
        <w:tblW w:w="10420" w:type="dxa"/>
        <w:tblInd w:w="98" w:type="dxa"/>
        <w:tblLayout w:type="autofit"/>
        <w:tblCellMar>
          <w:top w:w="0" w:type="dxa"/>
          <w:left w:w="108" w:type="dxa"/>
          <w:bottom w:w="0" w:type="dxa"/>
          <w:right w:w="108" w:type="dxa"/>
        </w:tblCellMar>
      </w:tblPr>
      <w:tblGrid>
        <w:gridCol w:w="835"/>
        <w:gridCol w:w="2628"/>
        <w:gridCol w:w="3637"/>
        <w:gridCol w:w="1176"/>
        <w:gridCol w:w="1072"/>
        <w:gridCol w:w="1072"/>
      </w:tblGrid>
      <w:tr>
        <w:tblPrEx>
          <w:tblCellMar>
            <w:top w:w="0" w:type="dxa"/>
            <w:left w:w="108" w:type="dxa"/>
            <w:bottom w:w="0" w:type="dxa"/>
            <w:right w:w="108" w:type="dxa"/>
          </w:tblCellMar>
        </w:tblPrEx>
        <w:trPr>
          <w:trHeight w:val="951" w:hRule="atLeast"/>
        </w:trPr>
        <w:tc>
          <w:tcPr>
            <w:tcW w:w="835" w:type="dxa"/>
            <w:tcBorders>
              <w:top w:val="single" w:color="auto" w:sz="8" w:space="0"/>
              <w:left w:val="single" w:color="auto" w:sz="8" w:space="0"/>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序号</w:t>
            </w:r>
          </w:p>
        </w:tc>
        <w:tc>
          <w:tcPr>
            <w:tcW w:w="2628" w:type="dxa"/>
            <w:tcBorders>
              <w:top w:val="single" w:color="auto" w:sz="8" w:space="0"/>
              <w:left w:val="nil"/>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服务名称</w:t>
            </w:r>
          </w:p>
        </w:tc>
        <w:tc>
          <w:tcPr>
            <w:tcW w:w="3637" w:type="dxa"/>
            <w:tcBorders>
              <w:top w:val="single" w:color="auto" w:sz="8" w:space="0"/>
              <w:left w:val="nil"/>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服务内容</w:t>
            </w:r>
          </w:p>
        </w:tc>
        <w:tc>
          <w:tcPr>
            <w:tcW w:w="1176" w:type="dxa"/>
            <w:tcBorders>
              <w:top w:val="single" w:color="auto" w:sz="8" w:space="0"/>
              <w:left w:val="nil"/>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数量（项）</w:t>
            </w:r>
          </w:p>
        </w:tc>
        <w:tc>
          <w:tcPr>
            <w:tcW w:w="1072" w:type="dxa"/>
            <w:tcBorders>
              <w:top w:val="single" w:color="auto" w:sz="8" w:space="0"/>
              <w:left w:val="nil"/>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单价</w:t>
            </w:r>
          </w:p>
        </w:tc>
        <w:tc>
          <w:tcPr>
            <w:tcW w:w="1072" w:type="dxa"/>
            <w:tcBorders>
              <w:top w:val="single" w:color="auto" w:sz="8" w:space="0"/>
              <w:left w:val="nil"/>
              <w:bottom w:val="single" w:color="auto" w:sz="8" w:space="0"/>
              <w:right w:val="single" w:color="auto" w:sz="8" w:space="0"/>
            </w:tcBorders>
            <w:shd w:val="clear" w:color="000000" w:fill="BCE1C0"/>
            <w:vAlign w:val="center"/>
          </w:tcPr>
          <w:p>
            <w:pPr>
              <w:widowControl/>
              <w:spacing w:line="360" w:lineRule="auto"/>
              <w:contextualSpacing/>
              <w:jc w:val="center"/>
              <w:rPr>
                <w:rFonts w:hint="default" w:ascii="仿宋_GB2312" w:hAnsi="宋体" w:cs="宋体"/>
                <w:bCs/>
                <w:color w:val="000000"/>
                <w:kern w:val="0"/>
                <w:szCs w:val="32"/>
              </w:rPr>
            </w:pPr>
            <w:r>
              <w:rPr>
                <w:rFonts w:ascii="仿宋_GB2312" w:hAnsi="宋体" w:cs="宋体"/>
                <w:bCs/>
                <w:color w:val="000000"/>
                <w:kern w:val="0"/>
                <w:szCs w:val="32"/>
              </w:rPr>
              <w:t>备注</w:t>
            </w:r>
          </w:p>
        </w:tc>
      </w:tr>
      <w:tr>
        <w:tblPrEx>
          <w:tblCellMar>
            <w:top w:w="0" w:type="dxa"/>
            <w:left w:w="108" w:type="dxa"/>
            <w:bottom w:w="0" w:type="dxa"/>
            <w:right w:w="108" w:type="dxa"/>
          </w:tblCellMar>
        </w:tblPrEx>
        <w:trPr>
          <w:trHeight w:val="889" w:hRule="atLeast"/>
        </w:trPr>
        <w:tc>
          <w:tcPr>
            <w:tcW w:w="835"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1</w:t>
            </w:r>
          </w:p>
        </w:tc>
        <w:tc>
          <w:tcPr>
            <w:tcW w:w="2628"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等级保护测评</w:t>
            </w:r>
          </w:p>
        </w:tc>
        <w:tc>
          <w:tcPr>
            <w:tcW w:w="3637"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安全技术测评、安全管理测评</w:t>
            </w:r>
          </w:p>
        </w:tc>
        <w:tc>
          <w:tcPr>
            <w:tcW w:w="1176"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c>
          <w:tcPr>
            <w:tcW w:w="1072"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c>
          <w:tcPr>
            <w:tcW w:w="1072"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r>
      <w:tr>
        <w:tblPrEx>
          <w:tblCellMar>
            <w:top w:w="0" w:type="dxa"/>
            <w:left w:w="108" w:type="dxa"/>
            <w:bottom w:w="0" w:type="dxa"/>
            <w:right w:w="108" w:type="dxa"/>
          </w:tblCellMar>
        </w:tblPrEx>
        <w:trPr>
          <w:trHeight w:val="600" w:hRule="atLeast"/>
        </w:trPr>
        <w:tc>
          <w:tcPr>
            <w:tcW w:w="835"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hint="default" w:ascii="仿宋_GB2312" w:hAnsi="宋体" w:cs="宋体"/>
                <w:color w:val="000000"/>
                <w:kern w:val="0"/>
                <w:szCs w:val="32"/>
              </w:rPr>
              <w:t>2</w:t>
            </w:r>
          </w:p>
        </w:tc>
        <w:tc>
          <w:tcPr>
            <w:tcW w:w="2628"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其他费用</w:t>
            </w:r>
          </w:p>
        </w:tc>
        <w:tc>
          <w:tcPr>
            <w:tcW w:w="3637"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c>
          <w:tcPr>
            <w:tcW w:w="1176"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c>
          <w:tcPr>
            <w:tcW w:w="1072"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c>
          <w:tcPr>
            <w:tcW w:w="1072" w:type="dxa"/>
            <w:tcBorders>
              <w:top w:val="nil"/>
              <w:left w:val="nil"/>
              <w:bottom w:val="single" w:color="auto" w:sz="8" w:space="0"/>
              <w:right w:val="single" w:color="auto"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　</w:t>
            </w:r>
          </w:p>
        </w:tc>
      </w:tr>
      <w:tr>
        <w:tblPrEx>
          <w:tblCellMar>
            <w:top w:w="0" w:type="dxa"/>
            <w:left w:w="108" w:type="dxa"/>
            <w:bottom w:w="0" w:type="dxa"/>
            <w:right w:w="108" w:type="dxa"/>
          </w:tblCellMar>
        </w:tblPrEx>
        <w:trPr>
          <w:trHeight w:val="600" w:hRule="atLeast"/>
        </w:trPr>
        <w:tc>
          <w:tcPr>
            <w:tcW w:w="346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line="360" w:lineRule="auto"/>
              <w:contextualSpacing/>
              <w:jc w:val="center"/>
              <w:rPr>
                <w:rFonts w:hint="default" w:ascii="仿宋_GB2312" w:hAnsi="宋体" w:cs="宋体"/>
                <w:color w:val="000000"/>
                <w:kern w:val="0"/>
                <w:szCs w:val="32"/>
              </w:rPr>
            </w:pPr>
            <w:r>
              <w:rPr>
                <w:rFonts w:ascii="仿宋_GB2312" w:hAnsi="宋体" w:cs="宋体"/>
                <w:color w:val="000000"/>
                <w:kern w:val="0"/>
                <w:szCs w:val="32"/>
              </w:rPr>
              <w:t>报价总计</w:t>
            </w:r>
          </w:p>
        </w:tc>
        <w:tc>
          <w:tcPr>
            <w:tcW w:w="6957" w:type="dxa"/>
            <w:gridSpan w:val="4"/>
            <w:tcBorders>
              <w:top w:val="single" w:color="auto" w:sz="8" w:space="0"/>
              <w:left w:val="nil"/>
              <w:bottom w:val="nil"/>
              <w:right w:val="single" w:color="000000" w:sz="8" w:space="0"/>
            </w:tcBorders>
            <w:shd w:val="clear" w:color="auto" w:fill="auto"/>
            <w:vAlign w:val="center"/>
          </w:tcPr>
          <w:p>
            <w:pPr>
              <w:widowControl/>
              <w:spacing w:line="360" w:lineRule="auto"/>
              <w:contextualSpacing/>
              <w:jc w:val="right"/>
              <w:rPr>
                <w:rFonts w:hint="default" w:ascii="仿宋_GB2312" w:hAnsi="宋体" w:cs="宋体"/>
                <w:color w:val="000000"/>
                <w:kern w:val="0"/>
                <w:szCs w:val="32"/>
              </w:rPr>
            </w:pPr>
            <w:r>
              <w:rPr>
                <w:rFonts w:ascii="仿宋_GB2312" w:hAnsi="宋体" w:cs="宋体"/>
                <w:color w:val="000000"/>
                <w:kern w:val="0"/>
                <w:szCs w:val="32"/>
              </w:rPr>
              <w:t>　</w:t>
            </w:r>
          </w:p>
        </w:tc>
      </w:tr>
      <w:tr>
        <w:tblPrEx>
          <w:tblCellMar>
            <w:top w:w="0" w:type="dxa"/>
            <w:left w:w="108" w:type="dxa"/>
            <w:bottom w:w="0" w:type="dxa"/>
            <w:right w:w="108" w:type="dxa"/>
          </w:tblCellMar>
        </w:tblPrEx>
        <w:trPr>
          <w:trHeight w:val="456" w:hRule="atLeast"/>
        </w:trPr>
        <w:tc>
          <w:tcPr>
            <w:tcW w:w="3463"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spacing w:line="360" w:lineRule="auto"/>
              <w:contextualSpacing/>
              <w:jc w:val="left"/>
              <w:rPr>
                <w:rFonts w:hint="default" w:ascii="仿宋_GB2312" w:hAnsi="宋体" w:cs="宋体"/>
                <w:color w:val="000000"/>
                <w:kern w:val="0"/>
                <w:szCs w:val="32"/>
              </w:rPr>
            </w:pPr>
          </w:p>
        </w:tc>
        <w:tc>
          <w:tcPr>
            <w:tcW w:w="6957" w:type="dxa"/>
            <w:gridSpan w:val="4"/>
            <w:tcBorders>
              <w:top w:val="nil"/>
              <w:left w:val="nil"/>
              <w:bottom w:val="single" w:color="auto" w:sz="8" w:space="0"/>
              <w:right w:val="single" w:color="000000" w:sz="8" w:space="0"/>
            </w:tcBorders>
            <w:shd w:val="clear" w:color="auto" w:fill="auto"/>
            <w:vAlign w:val="center"/>
          </w:tcPr>
          <w:p>
            <w:pPr>
              <w:widowControl/>
              <w:spacing w:line="360" w:lineRule="auto"/>
              <w:contextualSpacing/>
              <w:jc w:val="right"/>
              <w:rPr>
                <w:rFonts w:hint="default" w:ascii="仿宋_GB2312" w:hAnsi="宋体" w:cs="宋体"/>
                <w:color w:val="000000"/>
                <w:kern w:val="0"/>
                <w:szCs w:val="32"/>
              </w:rPr>
            </w:pPr>
            <w:r>
              <w:rPr>
                <w:rFonts w:ascii="仿宋_GB2312" w:hAnsi="宋体" w:cs="宋体"/>
                <w:color w:val="000000"/>
                <w:kern w:val="0"/>
                <w:szCs w:val="32"/>
              </w:rPr>
              <w:t xml:space="preserve">大写人民币：      </w:t>
            </w:r>
          </w:p>
        </w:tc>
      </w:tr>
    </w:tbl>
    <w:p>
      <w:pPr>
        <w:spacing w:line="360" w:lineRule="auto"/>
        <w:ind w:firstLine="3840" w:firstLineChars="1200"/>
        <w:contextualSpacing/>
        <w:rPr>
          <w:rFonts w:hint="default" w:ascii="仿宋_GB2312" w:hAnsi="仿宋" w:cs="楷体_GB2312"/>
          <w:bCs/>
          <w:szCs w:val="32"/>
        </w:rPr>
      </w:pPr>
    </w:p>
    <w:p>
      <w:pPr>
        <w:spacing w:line="360" w:lineRule="auto"/>
        <w:ind w:firstLine="3840" w:firstLineChars="1200"/>
        <w:contextualSpacing/>
        <w:rPr>
          <w:rFonts w:hint="default" w:ascii="仿宋_GB2312" w:hAnsi="仿宋" w:cs="楷体_GB2312"/>
          <w:bCs/>
          <w:szCs w:val="32"/>
        </w:rPr>
      </w:pPr>
      <w:r>
        <w:rPr>
          <w:rFonts w:ascii="仿宋_GB2312" w:hAnsi="仿宋" w:cs="楷体_GB2312"/>
          <w:bCs/>
          <w:szCs w:val="32"/>
        </w:rPr>
        <w:t xml:space="preserve">投标人名称（加盖公章）：      </w:t>
      </w:r>
    </w:p>
    <w:p>
      <w:pPr>
        <w:spacing w:line="360" w:lineRule="auto"/>
        <w:ind w:firstLine="2720" w:firstLineChars="850"/>
        <w:contextualSpacing/>
        <w:rPr>
          <w:rFonts w:hint="default" w:ascii="仿宋_GB2312" w:hAnsi="仿宋" w:cs="楷体_GB2312"/>
          <w:bCs/>
          <w:szCs w:val="32"/>
        </w:rPr>
      </w:pPr>
      <w:r>
        <w:rPr>
          <w:rFonts w:ascii="仿宋_GB2312" w:hAnsi="仿宋" w:cs="楷体_GB2312"/>
          <w:szCs w:val="32"/>
        </w:rPr>
        <w:t xml:space="preserve">法定代表人或被授权代理人签字：                     </w:t>
      </w:r>
    </w:p>
    <w:p>
      <w:pPr>
        <w:spacing w:line="360" w:lineRule="auto"/>
        <w:ind w:firstLine="5920" w:firstLineChars="1850"/>
        <w:contextualSpacing/>
        <w:rPr>
          <w:rFonts w:hint="default" w:ascii="仿宋_GB2312" w:hAnsi="仿宋" w:cs="楷体_GB2312"/>
          <w:szCs w:val="32"/>
        </w:rPr>
      </w:pPr>
      <w:r>
        <w:rPr>
          <w:rFonts w:ascii="仿宋_GB2312" w:hAnsi="仿宋" w:cs="楷体_GB2312"/>
          <w:szCs w:val="32"/>
        </w:rPr>
        <w:t>年  月  日</w:t>
      </w:r>
    </w:p>
    <w:p>
      <w:pPr>
        <w:widowControl/>
        <w:jc w:val="left"/>
        <w:rPr>
          <w:rFonts w:hint="default" w:ascii="仿宋_GB2312" w:hAnsi="仿宋" w:cs="楷体_GB2312"/>
          <w:szCs w:val="32"/>
        </w:rPr>
      </w:pPr>
      <w:r>
        <w:rPr>
          <w:rFonts w:ascii="仿宋_GB2312" w:hAnsi="仿宋" w:cs="楷体_GB2312"/>
          <w:szCs w:val="32"/>
        </w:rPr>
        <w:br w:type="page"/>
      </w:r>
    </w:p>
    <w:p>
      <w:pPr>
        <w:pStyle w:val="3"/>
        <w:spacing w:line="360" w:lineRule="auto"/>
        <w:jc w:val="center"/>
        <w:outlineLvl w:val="0"/>
        <w:rPr>
          <w:rFonts w:ascii="仿宋_GB2312" w:hAnsi="仿宋" w:eastAsia="仿宋_GB2312" w:cs="仿宋"/>
          <w:b w:val="0"/>
          <w:bCs/>
          <w:szCs w:val="32"/>
        </w:rPr>
      </w:pPr>
      <w:bookmarkStart w:id="96" w:name="_Toc24900"/>
      <w:bookmarkStart w:id="97" w:name="_Toc17599"/>
      <w:bookmarkStart w:id="98" w:name="_Toc12520094"/>
      <w:bookmarkStart w:id="99" w:name="_Toc5286797"/>
      <w:r>
        <w:rPr>
          <w:rFonts w:hint="eastAsia" w:ascii="仿宋_GB2312" w:hAnsi="仿宋" w:eastAsia="仿宋_GB2312" w:cs="仿宋"/>
          <w:b w:val="0"/>
          <w:bCs/>
          <w:szCs w:val="32"/>
        </w:rPr>
        <w:t>附件6 买卖合同</w:t>
      </w:r>
      <w:bookmarkEnd w:id="96"/>
      <w:bookmarkEnd w:id="97"/>
      <w:bookmarkEnd w:id="98"/>
      <w:bookmarkEnd w:id="99"/>
    </w:p>
    <w:p>
      <w:pPr>
        <w:spacing w:line="360" w:lineRule="auto"/>
        <w:rPr>
          <w:rFonts w:hint="default" w:ascii="仿宋_GB2312" w:hAnsi="仿宋" w:cs="仿宋"/>
          <w:bCs/>
          <w:kern w:val="0"/>
          <w:szCs w:val="32"/>
        </w:rPr>
      </w:pPr>
      <w:r>
        <w:rPr>
          <w:rFonts w:ascii="仿宋_GB2312"/>
          <w:szCs w:val="32"/>
        </w:rPr>
        <w:t xml:space="preserve"> 中标后，由双方商议确定。</w:t>
      </w:r>
    </w:p>
    <w:p/>
    <w:sectPr>
      <w:footerReference r:id="rId11" w:type="default"/>
      <w:pgSz w:w="11907" w:h="16840"/>
      <w:pgMar w:top="1440" w:right="1080" w:bottom="1440" w:left="1080" w:header="851" w:footer="992" w:gutter="0"/>
      <w:pgNumType w:fmt="numberInDash"/>
      <w:cols w:space="720"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2"/>
      <w:rPr>
        <w:rStyle w:val="16"/>
        <w:rFonts w:hint="default"/>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rFonts w:hint="default"/>
        <w:sz w:val="24"/>
        <w:szCs w:val="24"/>
      </w:rPr>
      <w:t>- 2 -</w:t>
    </w:r>
    <w:r>
      <w:rPr>
        <w:sz w:val="24"/>
        <w:szCs w:val="24"/>
      </w:rPr>
      <w:fldChar w:fldCharType="end"/>
    </w:r>
  </w:p>
  <w:p>
    <w:pPr>
      <w:pStyle w:val="1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p>
  <w:p>
    <w:pPr>
      <w:pStyle w:val="1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p>
  <w:p>
    <w:pPr>
      <w:pStyle w:val="1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8 -</w:t>
                    </w:r>
                    <w:r>
                      <w:fldChar w:fldCharType="end"/>
                    </w:r>
                  </w:p>
                </w:txbxContent>
              </v:textbox>
            </v:shape>
          </w:pict>
        </mc:Fallback>
      </mc:AlternateContent>
    </w:r>
  </w:p>
  <w:p>
    <w:pPr>
      <w:pStyle w:val="10"/>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17 -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rFonts w:hint="default"/>
                        <w:lang w:val="zh-CN"/>
                      </w:rPr>
                      <w:t>-</w:t>
                    </w:r>
                    <w:r>
                      <w:rPr>
                        <w:rFonts w:hint="default"/>
                      </w:rPr>
                      <w:t xml:space="preserve"> 21 -</w:t>
                    </w:r>
                    <w:r>
                      <w:fldChar w:fldCharType="end"/>
                    </w:r>
                  </w:p>
                </w:txbxContent>
              </v:textbox>
            </v:shape>
          </w:pict>
        </mc:Fallback>
      </mc:AlternateContent>
    </w:r>
  </w:p>
  <w:p>
    <w:pPr>
      <w:pStyle w:val="10"/>
      <w:rPr>
        <w:rFonts w:hint="defaul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hint="default"/>
                            </w:rPr>
                            <w:fldChar w:fldCharType="begin"/>
                          </w:r>
                          <w:r>
                            <w:instrText xml:space="preserve"> PAGE   \* MERGEFORMAT </w:instrText>
                          </w:r>
                          <w:r>
                            <w:rPr>
                              <w:rFonts w:hint="default"/>
                            </w:rPr>
                            <w:fldChar w:fldCharType="separate"/>
                          </w:r>
                          <w:r>
                            <w:rPr>
                              <w:rFonts w:hint="default"/>
                              <w:lang w:val="zh-CN"/>
                            </w:rPr>
                            <w:t>- 29 -</w:t>
                          </w:r>
                          <w:r>
                            <w:rPr>
                              <w:rFonts w:hint="default"/>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jc w:val="center"/>
                    </w:pPr>
                    <w:r>
                      <w:rPr>
                        <w:rFonts w:hint="default"/>
                      </w:rPr>
                      <w:fldChar w:fldCharType="begin"/>
                    </w:r>
                    <w:r>
                      <w:instrText xml:space="preserve"> PAGE   \* MERGEFORMAT </w:instrText>
                    </w:r>
                    <w:r>
                      <w:rPr>
                        <w:rFonts w:hint="default"/>
                      </w:rPr>
                      <w:fldChar w:fldCharType="separate"/>
                    </w:r>
                    <w:r>
                      <w:rPr>
                        <w:rFonts w:hint="default"/>
                        <w:lang w:val="zh-CN"/>
                      </w:rPr>
                      <w:t>- 29 -</w:t>
                    </w:r>
                    <w:r>
                      <w:rPr>
                        <w:rFonts w:hint="default"/>
                        <w:lang w:val="zh-CN"/>
                      </w:rPr>
                      <w:fldChar w:fldCharType="end"/>
                    </w:r>
                  </w:p>
                </w:txbxContent>
              </v:textbox>
            </v:shape>
          </w:pict>
        </mc:Fallback>
      </mc:AlternateContent>
    </w:r>
  </w:p>
  <w:p>
    <w:pPr>
      <w:pStyle w:val="1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85F"/>
    <w:multiLevelType w:val="multilevel"/>
    <w:tmpl w:val="04F558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565E96"/>
    <w:multiLevelType w:val="multilevel"/>
    <w:tmpl w:val="14565E96"/>
    <w:lvl w:ilvl="0" w:tentative="0">
      <w:start w:val="1"/>
      <w:numFmt w:val="decimal"/>
      <w:lvlText w:val="%1."/>
      <w:lvlJc w:val="left"/>
      <w:pPr>
        <w:ind w:left="987" w:hanging="42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34E979AA"/>
    <w:multiLevelType w:val="multilevel"/>
    <w:tmpl w:val="34E979AA"/>
    <w:lvl w:ilvl="0" w:tentative="0">
      <w:start w:val="1"/>
      <w:numFmt w:val="decimal"/>
      <w:lvlText w:val="(%1)"/>
      <w:lvlJc w:val="left"/>
      <w:pPr>
        <w:ind w:left="1407" w:hanging="420"/>
      </w:pPr>
      <w:rPr>
        <w:rFonts w:hint="default"/>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3">
    <w:nsid w:val="497D113C"/>
    <w:multiLevelType w:val="multilevel"/>
    <w:tmpl w:val="497D113C"/>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7791127"/>
    <w:multiLevelType w:val="multilevel"/>
    <w:tmpl w:val="57791127"/>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BCA2A0A"/>
    <w:multiLevelType w:val="multilevel"/>
    <w:tmpl w:val="5BCA2A0A"/>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63AA3B7D"/>
    <w:multiLevelType w:val="multilevel"/>
    <w:tmpl w:val="63AA3B7D"/>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7B8749F3"/>
    <w:multiLevelType w:val="multilevel"/>
    <w:tmpl w:val="7B8749F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56D76"/>
    <w:rsid w:val="57E616CA"/>
    <w:rsid w:val="6E856D76"/>
    <w:rsid w:val="6E98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6" w:lineRule="auto"/>
      <w:outlineLvl w:val="0"/>
    </w:pPr>
    <w:rPr>
      <w:rFonts w:hint="default" w:eastAsia="方正粗黑宋简体"/>
      <w:kern w:val="44"/>
      <w:sz w:val="44"/>
    </w:rPr>
  </w:style>
  <w:style w:type="paragraph" w:styleId="3">
    <w:name w:val="heading 2"/>
    <w:basedOn w:val="1"/>
    <w:next w:val="1"/>
    <w:link w:val="20"/>
    <w:qFormat/>
    <w:uiPriority w:val="0"/>
    <w:pPr>
      <w:keepNext/>
      <w:keepLines/>
      <w:spacing w:before="260" w:after="260" w:line="413" w:lineRule="auto"/>
      <w:outlineLvl w:val="1"/>
    </w:pPr>
    <w:rPr>
      <w:rFonts w:hint="default" w:ascii="Arial" w:hAnsi="Arial" w:eastAsia="方正粗黑宋简体"/>
      <w:b/>
      <w:kern w:val="0"/>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hint="default" w:eastAsia="宋体"/>
      <w:sz w:val="21"/>
    </w:rPr>
  </w:style>
  <w:style w:type="paragraph" w:styleId="5">
    <w:name w:val="Salutation"/>
    <w:basedOn w:val="1"/>
    <w:next w:val="1"/>
    <w:unhideWhenUsed/>
    <w:qFormat/>
    <w:uiPriority w:val="99"/>
  </w:style>
  <w:style w:type="paragraph" w:styleId="6">
    <w:name w:val="Closing"/>
    <w:basedOn w:val="1"/>
    <w:unhideWhenUsed/>
    <w:qFormat/>
    <w:uiPriority w:val="99"/>
    <w:pPr>
      <w:ind w:left="100" w:leftChars="2100"/>
    </w:pPr>
  </w:style>
  <w:style w:type="paragraph" w:styleId="7">
    <w:name w:val="Body Text Indent"/>
    <w:basedOn w:val="1"/>
    <w:unhideWhenUsed/>
    <w:qFormat/>
    <w:uiPriority w:val="99"/>
    <w:pPr>
      <w:spacing w:after="120"/>
      <w:ind w:left="420" w:leftChars="200"/>
    </w:pPr>
  </w:style>
  <w:style w:type="paragraph" w:styleId="8">
    <w:name w:val="Plain Text"/>
    <w:basedOn w:val="1"/>
    <w:unhideWhenUsed/>
    <w:qFormat/>
    <w:uiPriority w:val="0"/>
    <w:rPr>
      <w:rFonts w:ascii="宋体" w:hAnsi="Courier New" w:eastAsia="宋体"/>
      <w:sz w:val="21"/>
      <w:szCs w:val="21"/>
    </w:rPr>
  </w:style>
  <w:style w:type="paragraph" w:styleId="9">
    <w:name w:val="Body Text Indent 2"/>
    <w:basedOn w:val="1"/>
    <w:unhideWhenUsed/>
    <w:qFormat/>
    <w:uiPriority w:val="99"/>
    <w:pPr>
      <w:adjustRightInd w:val="0"/>
      <w:spacing w:line="360" w:lineRule="atLeast"/>
      <w:ind w:firstLine="640"/>
      <w:jc w:val="left"/>
      <w:textAlignment w:val="baseline"/>
    </w:pPr>
    <w:rPr>
      <w:rFonts w:ascii="仿宋_GB2312"/>
      <w:kern w:val="0"/>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hint="default" w:ascii="宋体" w:hAnsi="宋体" w:eastAsia="宋体" w:cs="宋体"/>
      <w:kern w:val="0"/>
      <w:sz w:val="24"/>
      <w:szCs w:val="24"/>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nhideWhenUsed/>
    <w:qFormat/>
    <w:uiPriority w:val="99"/>
  </w:style>
  <w:style w:type="paragraph" w:customStyle="1" w:styleId="17">
    <w:name w:val="WPSOffice手动目录 1"/>
    <w:qFormat/>
    <w:uiPriority w:val="0"/>
    <w:pPr>
      <w:ind w:leftChars="0"/>
    </w:pPr>
    <w:rPr>
      <w:rFonts w:ascii="Calibri" w:hAnsi="Calibri" w:eastAsia="宋体" w:cs="Times New Roman"/>
      <w:sz w:val="20"/>
      <w:szCs w:val="20"/>
    </w:rPr>
  </w:style>
  <w:style w:type="paragraph" w:customStyle="1" w:styleId="18">
    <w:name w:val="WPSOffice手动目录 2"/>
    <w:qFormat/>
    <w:uiPriority w:val="0"/>
    <w:pPr>
      <w:ind w:leftChars="200"/>
    </w:pPr>
    <w:rPr>
      <w:rFonts w:ascii="Calibri" w:hAnsi="Calibri" w:eastAsia="宋体" w:cs="Times New Roman"/>
      <w:sz w:val="20"/>
      <w:szCs w:val="20"/>
    </w:rPr>
  </w:style>
  <w:style w:type="paragraph" w:styleId="19">
    <w:name w:val="List Paragraph"/>
    <w:basedOn w:val="1"/>
    <w:qFormat/>
    <w:uiPriority w:val="34"/>
    <w:pPr>
      <w:ind w:firstLine="420" w:firstLineChars="200"/>
    </w:pPr>
    <w:rPr>
      <w:rFonts w:hint="default" w:asciiTheme="minorHAnsi" w:hAnsiTheme="minorHAnsi" w:eastAsiaTheme="minorEastAsia" w:cstheme="minorBidi"/>
      <w:sz w:val="21"/>
      <w:szCs w:val="22"/>
    </w:rPr>
  </w:style>
  <w:style w:type="character" w:customStyle="1" w:styleId="20">
    <w:name w:val="标题 2 字符"/>
    <w:link w:val="3"/>
    <w:qFormat/>
    <w:uiPriority w:val="0"/>
    <w:rPr>
      <w:rFonts w:hint="default" w:ascii="Arial" w:hAnsi="Arial" w:eastAsia="方正粗黑宋简体"/>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2020-08-11T00:58:00Z</dcterms:created>
  <dc:creator>青春，</dc:creator>
  <cp:lastModifiedBy>青春，</cp:lastModifiedBy>
  <dcterms:modified xsi:type="dcterms:W3CDTF">2020-08-11T01:03:50Z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