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36"/>
          <w:szCs w:val="44"/>
          <w:lang w:val="en-US" w:eastAsia="zh-CN"/>
        </w:rPr>
      </w:pPr>
      <w:r>
        <w:rPr>
          <w:rFonts w:hint="eastAsia" w:ascii="微软雅黑" w:hAnsi="微软雅黑" w:eastAsia="微软雅黑" w:cs="微软雅黑"/>
          <w:b/>
          <w:bCs/>
          <w:sz w:val="36"/>
          <w:szCs w:val="44"/>
          <w:lang w:val="en-US" w:eastAsia="zh-CN"/>
        </w:rPr>
        <w:t>安徽省中西医结合医院办公网络租赁服务项目</w:t>
      </w:r>
    </w:p>
    <w:p/>
    <w:p/>
    <w:p>
      <w:pPr>
        <w:spacing w:line="360" w:lineRule="auto"/>
        <w:jc w:val="center"/>
        <w:rPr>
          <w:rFonts w:asciiTheme="minorEastAsia" w:hAnsiTheme="minorEastAsia"/>
          <w:b/>
          <w:bCs/>
          <w:sz w:val="24"/>
        </w:rPr>
      </w:pPr>
      <w:r>
        <w:rPr>
          <w:rFonts w:hint="eastAsia" w:asciiTheme="minorEastAsia" w:hAnsiTheme="minorEastAsia"/>
          <w:b/>
          <w:bCs/>
          <w:sz w:val="24"/>
        </w:rPr>
        <w:t>采购需求</w:t>
      </w:r>
    </w:p>
    <w:p>
      <w:pPr>
        <w:widowControl/>
        <w:spacing w:line="360" w:lineRule="auto"/>
        <w:jc w:val="left"/>
        <w:rPr>
          <w:rFonts w:asciiTheme="minorEastAsia" w:hAnsiTheme="minorEastAsia"/>
          <w:b/>
          <w:sz w:val="24"/>
        </w:rPr>
      </w:pPr>
      <w:r>
        <w:rPr>
          <w:rFonts w:hint="eastAsia" w:asciiTheme="minorEastAsia" w:hAnsiTheme="minorEastAsia"/>
          <w:b/>
          <w:sz w:val="24"/>
        </w:rPr>
        <w:t>● 采购需求说明和要求</w:t>
      </w:r>
    </w:p>
    <w:tbl>
      <w:tblPr>
        <w:tblStyle w:val="4"/>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111"/>
        <w:gridCol w:w="5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widowControl/>
              <w:spacing w:line="360" w:lineRule="auto"/>
              <w:jc w:val="left"/>
              <w:rPr>
                <w:rFonts w:asciiTheme="minorEastAsia" w:hAnsiTheme="minorEastAsia"/>
                <w:sz w:val="24"/>
              </w:rPr>
            </w:pPr>
            <w:r>
              <w:rPr>
                <w:rFonts w:hint="eastAsia" w:asciiTheme="minorEastAsia" w:hAnsiTheme="minorEastAsia"/>
                <w:sz w:val="24"/>
              </w:rPr>
              <w:t>序号</w:t>
            </w:r>
          </w:p>
        </w:tc>
        <w:tc>
          <w:tcPr>
            <w:tcW w:w="2111" w:type="dxa"/>
            <w:vAlign w:val="center"/>
          </w:tcPr>
          <w:p>
            <w:pPr>
              <w:widowControl/>
              <w:spacing w:line="360" w:lineRule="auto"/>
              <w:jc w:val="left"/>
              <w:rPr>
                <w:rFonts w:asciiTheme="minorEastAsia" w:hAnsiTheme="minorEastAsia"/>
                <w:sz w:val="24"/>
              </w:rPr>
            </w:pPr>
            <w:r>
              <w:rPr>
                <w:rFonts w:hint="eastAsia" w:asciiTheme="minorEastAsia" w:hAnsiTheme="minorEastAsia"/>
                <w:sz w:val="24"/>
              </w:rPr>
              <w:t>内容</w:t>
            </w:r>
          </w:p>
        </w:tc>
        <w:tc>
          <w:tcPr>
            <w:tcW w:w="5843" w:type="dxa"/>
            <w:vAlign w:val="center"/>
          </w:tcPr>
          <w:p>
            <w:pPr>
              <w:widowControl/>
              <w:spacing w:line="360" w:lineRule="auto"/>
              <w:jc w:val="left"/>
              <w:rPr>
                <w:rFonts w:asciiTheme="minorEastAsia" w:hAnsiTheme="minorEastAsia"/>
                <w:sz w:val="24"/>
              </w:rPr>
            </w:pPr>
            <w:r>
              <w:rPr>
                <w:rFonts w:hint="eastAsia" w:asciiTheme="minorEastAsia" w:hAnsiTheme="minorEastAsia"/>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66" w:type="dxa"/>
            <w:vAlign w:val="center"/>
          </w:tcPr>
          <w:p>
            <w:pPr>
              <w:widowControl/>
              <w:spacing w:line="360" w:lineRule="auto"/>
              <w:jc w:val="left"/>
              <w:rPr>
                <w:rFonts w:asciiTheme="minorEastAsia" w:hAnsiTheme="minorEastAsia"/>
                <w:sz w:val="24"/>
              </w:rPr>
            </w:pPr>
            <w:r>
              <w:rPr>
                <w:rFonts w:hint="eastAsia" w:asciiTheme="minorEastAsia" w:hAnsiTheme="minorEastAsia"/>
                <w:sz w:val="24"/>
              </w:rPr>
              <w:t>1</w:t>
            </w:r>
          </w:p>
        </w:tc>
        <w:tc>
          <w:tcPr>
            <w:tcW w:w="2111" w:type="dxa"/>
            <w:vAlign w:val="center"/>
          </w:tcPr>
          <w:p>
            <w:pPr>
              <w:spacing w:line="500" w:lineRule="exact"/>
              <w:jc w:val="center"/>
              <w:rPr>
                <w:rFonts w:asciiTheme="minorEastAsia" w:hAnsiTheme="minorEastAsia"/>
                <w:sz w:val="24"/>
              </w:rPr>
            </w:pPr>
            <w:r>
              <w:rPr>
                <w:rFonts w:hint="eastAsia" w:asciiTheme="minorEastAsia" w:hAnsiTheme="minorEastAsia"/>
                <w:sz w:val="24"/>
                <w:lang w:val="zh-CN"/>
              </w:rPr>
              <w:t>付款方式</w:t>
            </w:r>
          </w:p>
        </w:tc>
        <w:tc>
          <w:tcPr>
            <w:tcW w:w="5843" w:type="dxa"/>
          </w:tcPr>
          <w:p>
            <w:pPr>
              <w:widowControl/>
              <w:spacing w:line="480" w:lineRule="auto"/>
              <w:jc w:val="left"/>
              <w:rPr>
                <w:rFonts w:cs="Times New Roman" w:asciiTheme="minorEastAsia" w:hAnsiTheme="minorEastAsia"/>
                <w:sz w:val="24"/>
                <w:lang w:val="zh-CN"/>
              </w:rPr>
            </w:pPr>
            <w:r>
              <w:rPr>
                <w:rFonts w:hint="eastAsia" w:cs="Times New Roman" w:asciiTheme="minorEastAsia" w:hAnsiTheme="minorEastAsia"/>
                <w:sz w:val="24"/>
                <w:lang w:val="zh-CN"/>
              </w:rPr>
              <w:t>按月据实结算，下一月支付上一月的费用。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widowControl/>
              <w:spacing w:line="360" w:lineRule="auto"/>
              <w:jc w:val="left"/>
              <w:rPr>
                <w:rFonts w:asciiTheme="minorEastAsia" w:hAnsiTheme="minorEastAsia"/>
                <w:sz w:val="24"/>
              </w:rPr>
            </w:pPr>
            <w:r>
              <w:rPr>
                <w:rFonts w:hint="eastAsia" w:asciiTheme="minorEastAsia" w:hAnsiTheme="minorEastAsia"/>
                <w:sz w:val="24"/>
              </w:rPr>
              <w:t>2</w:t>
            </w:r>
          </w:p>
        </w:tc>
        <w:tc>
          <w:tcPr>
            <w:tcW w:w="2111" w:type="dxa"/>
            <w:vAlign w:val="center"/>
          </w:tcPr>
          <w:p>
            <w:pPr>
              <w:spacing w:line="500" w:lineRule="exact"/>
              <w:jc w:val="center"/>
              <w:rPr>
                <w:rFonts w:ascii="宋体" w:hAnsi="宋体"/>
                <w:sz w:val="24"/>
              </w:rPr>
            </w:pPr>
            <w:r>
              <w:rPr>
                <w:rFonts w:hint="eastAsia" w:ascii="宋体" w:hAnsi="宋体"/>
                <w:sz w:val="24"/>
              </w:rPr>
              <w:t>服务地点</w:t>
            </w:r>
          </w:p>
        </w:tc>
        <w:tc>
          <w:tcPr>
            <w:tcW w:w="5843" w:type="dxa"/>
          </w:tcPr>
          <w:p>
            <w:pPr>
              <w:widowControl/>
              <w:spacing w:line="360" w:lineRule="auto"/>
              <w:jc w:val="left"/>
              <w:rPr>
                <w:rFonts w:cs="Times New Roman" w:asciiTheme="minorEastAsia" w:hAnsiTheme="minorEastAsia"/>
                <w:sz w:val="24"/>
              </w:rPr>
            </w:pPr>
            <w:r>
              <w:rPr>
                <w:rFonts w:cs="Times New Roman" w:asciiTheme="minorEastAsia" w:hAnsiTheme="minorEastAsia"/>
                <w:sz w:val="24"/>
              </w:rPr>
              <w:t xml:space="preserve"> 安徽省合肥市 ，采购人指定地点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widowControl/>
              <w:spacing w:line="360" w:lineRule="auto"/>
              <w:jc w:val="left"/>
              <w:rPr>
                <w:rFonts w:asciiTheme="minorEastAsia" w:hAnsiTheme="minorEastAsia"/>
                <w:sz w:val="24"/>
              </w:rPr>
            </w:pPr>
            <w:r>
              <w:rPr>
                <w:rFonts w:hint="eastAsia" w:asciiTheme="minorEastAsia" w:hAnsiTheme="minorEastAsia"/>
                <w:sz w:val="24"/>
              </w:rPr>
              <w:t>3</w:t>
            </w:r>
          </w:p>
        </w:tc>
        <w:tc>
          <w:tcPr>
            <w:tcW w:w="2111" w:type="dxa"/>
            <w:vAlign w:val="center"/>
          </w:tcPr>
          <w:p>
            <w:pPr>
              <w:spacing w:line="500" w:lineRule="exact"/>
              <w:jc w:val="center"/>
              <w:rPr>
                <w:rFonts w:ascii="宋体" w:hAnsi="宋体"/>
                <w:sz w:val="24"/>
              </w:rPr>
            </w:pPr>
            <w:r>
              <w:rPr>
                <w:rFonts w:hint="eastAsia" w:ascii="宋体" w:hAnsi="宋体"/>
                <w:sz w:val="24"/>
              </w:rPr>
              <w:t>服务期限</w:t>
            </w:r>
          </w:p>
        </w:tc>
        <w:tc>
          <w:tcPr>
            <w:tcW w:w="5843" w:type="dxa"/>
          </w:tcPr>
          <w:p>
            <w:pPr>
              <w:widowControl/>
              <w:spacing w:line="360" w:lineRule="auto"/>
              <w:jc w:val="left"/>
              <w:rPr>
                <w:rFonts w:cs="Times New Roman" w:asciiTheme="minorEastAsia" w:hAnsiTheme="minorEastAsia"/>
                <w:sz w:val="24"/>
              </w:rPr>
            </w:pPr>
            <w:r>
              <w:rPr>
                <w:rFonts w:cs="Times New Roman" w:asciiTheme="minorEastAsia" w:hAnsiTheme="minorEastAsia"/>
                <w:sz w:val="24"/>
              </w:rPr>
              <w:t>本次服务期限为</w:t>
            </w:r>
            <w:r>
              <w:rPr>
                <w:rFonts w:hint="eastAsia" w:cs="Times New Roman" w:asciiTheme="minorEastAsia" w:hAnsiTheme="minorEastAsia"/>
                <w:sz w:val="24"/>
                <w:lang w:val="en-US" w:eastAsia="zh-CN"/>
              </w:rPr>
              <w:t>三</w:t>
            </w:r>
            <w:r>
              <w:rPr>
                <w:rFonts w:cs="Times New Roman" w:asciiTheme="minorEastAsia" w:hAnsiTheme="minorEastAsia"/>
                <w:sz w:val="24"/>
              </w:rPr>
              <w:t>年，即20</w:t>
            </w:r>
            <w:r>
              <w:rPr>
                <w:rFonts w:hint="eastAsia" w:cs="Times New Roman" w:asciiTheme="minorEastAsia" w:hAnsiTheme="minorEastAsia"/>
                <w:sz w:val="24"/>
              </w:rPr>
              <w:t>20</w:t>
            </w:r>
            <w:r>
              <w:rPr>
                <w:rFonts w:cs="Times New Roman" w:asciiTheme="minorEastAsia" w:hAnsiTheme="minorEastAsia"/>
                <w:sz w:val="24"/>
              </w:rPr>
              <w:t>年1月1日至202</w:t>
            </w:r>
            <w:r>
              <w:rPr>
                <w:rFonts w:hint="eastAsia" w:cs="Times New Roman" w:asciiTheme="minorEastAsia" w:hAnsiTheme="minorEastAsia"/>
                <w:sz w:val="24"/>
                <w:lang w:val="en-US" w:eastAsia="zh-CN"/>
              </w:rPr>
              <w:t>3</w:t>
            </w:r>
            <w:r>
              <w:rPr>
                <w:rFonts w:cs="Times New Roman" w:asciiTheme="minorEastAsia" w:hAnsiTheme="minorEastAsia"/>
                <w:sz w:val="24"/>
              </w:rPr>
              <w:t>年</w:t>
            </w:r>
            <w:r>
              <w:rPr>
                <w:rFonts w:hint="eastAsia" w:cs="Times New Roman" w:asciiTheme="minorEastAsia" w:hAnsiTheme="minorEastAsia"/>
                <w:sz w:val="24"/>
                <w:lang w:val="en-US" w:eastAsia="zh-CN"/>
              </w:rPr>
              <w:t>1</w:t>
            </w:r>
            <w:r>
              <w:rPr>
                <w:rFonts w:cs="Times New Roman" w:asciiTheme="minorEastAsia" w:hAnsiTheme="minorEastAsia"/>
                <w:sz w:val="24"/>
              </w:rPr>
              <w:t>月</w:t>
            </w:r>
            <w:r>
              <w:rPr>
                <w:rFonts w:hint="eastAsia" w:cs="Times New Roman" w:asciiTheme="minorEastAsia" w:hAnsiTheme="minorEastAsia"/>
                <w:sz w:val="24"/>
              </w:rPr>
              <w:t>1</w:t>
            </w:r>
            <w:r>
              <w:rPr>
                <w:rFonts w:cs="Times New Roman" w:asciiTheme="minorEastAsia" w:hAnsiTheme="minorEastAsia"/>
                <w:sz w:val="24"/>
              </w:rPr>
              <w:t>日</w:t>
            </w:r>
            <w:r>
              <w:rPr>
                <w:rFonts w:hint="eastAsia" w:cs="Times New Roman" w:asciiTheme="minorEastAsia" w:hAnsiTheme="minorEastAsia"/>
                <w:sz w:val="24"/>
              </w:rPr>
              <w:t>。</w:t>
            </w:r>
            <w:bookmarkStart w:id="0" w:name="_GoBack"/>
            <w:bookmarkEnd w:id="0"/>
          </w:p>
        </w:tc>
      </w:tr>
    </w:tbl>
    <w:p>
      <w:pPr>
        <w:spacing w:line="360" w:lineRule="auto"/>
        <w:rPr>
          <w:sz w:val="24"/>
          <w:szCs w:val="28"/>
        </w:rPr>
      </w:pPr>
      <w:r>
        <w:rPr>
          <w:sz w:val="24"/>
          <w:szCs w:val="28"/>
        </w:rPr>
        <w:t>前注：</w:t>
      </w:r>
    </w:p>
    <w:p>
      <w:pPr>
        <w:spacing w:line="360" w:lineRule="auto"/>
        <w:rPr>
          <w:rFonts w:ascii="Times New Roman" w:hAnsi="Times New Roman" w:eastAsia="宋体" w:cs="Times New Roman"/>
          <w:sz w:val="24"/>
          <w:szCs w:val="28"/>
        </w:rPr>
      </w:pPr>
      <w:r>
        <w:rPr>
          <w:rFonts w:ascii="Times New Roman" w:hAnsi="Times New Roman" w:eastAsia="宋体" w:cs="Times New Roman"/>
          <w:sz w:val="24"/>
          <w:szCs w:val="28"/>
        </w:rPr>
        <w:t>1、本说明中提出的技术方案仅为参考，如无明确限制，供应商可以进行优化，提供满足用户实际需要的更优（或者性能实质上不低于的）服务方案，</w:t>
      </w:r>
      <w:r>
        <w:rPr>
          <w:rFonts w:ascii="Times New Roman" w:hAnsi="Times New Roman" w:eastAsia="宋体" w:cs="Times New Roman"/>
          <w:sz w:val="24"/>
        </w:rPr>
        <w:t>且此方案须经</w:t>
      </w:r>
      <w:r>
        <w:rPr>
          <w:rFonts w:hint="eastAsia" w:ascii="Times New Roman" w:hAnsi="Times New Roman" w:eastAsia="宋体" w:cs="Times New Roman"/>
          <w:sz w:val="24"/>
        </w:rPr>
        <w:t>评标</w:t>
      </w:r>
      <w:r>
        <w:rPr>
          <w:rFonts w:ascii="Times New Roman" w:hAnsi="Times New Roman" w:eastAsia="宋体" w:cs="Times New Roman"/>
          <w:sz w:val="24"/>
        </w:rPr>
        <w:t>小组评审认可；</w:t>
      </w:r>
      <w:r>
        <w:rPr>
          <w:rFonts w:ascii="Times New Roman" w:hAnsi="Times New Roman" w:eastAsia="宋体" w:cs="Times New Roman"/>
          <w:sz w:val="24"/>
        </w:rPr>
        <w:cr/>
      </w:r>
      <w:r>
        <w:rPr>
          <w:rFonts w:ascii="Times New Roman" w:hAnsi="Times New Roman" w:eastAsia="宋体" w:cs="Times New Roman"/>
          <w:sz w:val="24"/>
          <w:szCs w:val="28"/>
        </w:rPr>
        <w:t>2、供应商应当在响应文件中列出完成本项目并通过验收所需的所有各项服务等全部费用。成交供应商必须确保整体通过用户方及有关主管部门验收,所发生的验收费用由成交供应商承担；供应商应自行勘察项目现场，如供应商因未及时勘察现场而导致的报价缺项漏项废标、或成交后无法完工，供应商自行承担一切后果；</w:t>
      </w:r>
    </w:p>
    <w:p>
      <w:pPr>
        <w:spacing w:line="360" w:lineRule="auto"/>
        <w:rPr>
          <w:rFonts w:ascii="Times New Roman" w:hAnsi="Times New Roman" w:eastAsia="宋体" w:cs="Times New Roman"/>
          <w:kern w:val="0"/>
          <w:sz w:val="24"/>
        </w:rPr>
      </w:pPr>
      <w:r>
        <w:rPr>
          <w:rFonts w:ascii="Times New Roman" w:hAnsi="Times New Roman" w:eastAsia="宋体" w:cs="Times New Roman"/>
          <w:sz w:val="24"/>
          <w:szCs w:val="28"/>
        </w:rPr>
        <w:t>3、如对本</w:t>
      </w:r>
      <w:r>
        <w:rPr>
          <w:rFonts w:hint="eastAsia" w:ascii="Times New Roman" w:hAnsi="Times New Roman" w:eastAsia="宋体" w:cs="Times New Roman"/>
          <w:sz w:val="24"/>
          <w:szCs w:val="28"/>
        </w:rPr>
        <w:t>招</w:t>
      </w:r>
      <w:r>
        <w:rPr>
          <w:rFonts w:hint="eastAsia" w:ascii="Times New Roman" w:hAnsi="Times New Roman" w:eastAsia="宋体" w:cs="Times New Roman"/>
          <w:sz w:val="24"/>
        </w:rPr>
        <w:t>标</w:t>
      </w:r>
      <w:r>
        <w:rPr>
          <w:rFonts w:ascii="Times New Roman" w:hAnsi="Times New Roman" w:eastAsia="宋体" w:cs="Times New Roman"/>
          <w:sz w:val="24"/>
          <w:szCs w:val="28"/>
        </w:rPr>
        <w:t>文件有任何疑问或澄清要求，请按本</w:t>
      </w:r>
      <w:r>
        <w:rPr>
          <w:rFonts w:hint="eastAsia" w:ascii="Times New Roman" w:hAnsi="Times New Roman" w:eastAsia="宋体" w:cs="Times New Roman"/>
          <w:sz w:val="24"/>
        </w:rPr>
        <w:t>招标</w:t>
      </w:r>
      <w:r>
        <w:rPr>
          <w:rFonts w:ascii="Times New Roman" w:hAnsi="Times New Roman" w:eastAsia="宋体" w:cs="Times New Roman"/>
          <w:sz w:val="24"/>
          <w:szCs w:val="28"/>
        </w:rPr>
        <w:t>文件“供应商须知前附表”中约定方式联系合肥市政府采购中心，或在接受答疑截止时间前联系采购人，否则视同理解和接受，</w:t>
      </w:r>
      <w:r>
        <w:rPr>
          <w:rFonts w:ascii="Times New Roman" w:hAnsi="Times New Roman" w:eastAsia="宋体" w:cs="Times New Roman"/>
          <w:kern w:val="0"/>
          <w:sz w:val="24"/>
        </w:rPr>
        <w:t>供应商对</w:t>
      </w:r>
      <w:r>
        <w:rPr>
          <w:rFonts w:hint="eastAsia" w:ascii="Times New Roman" w:hAnsi="Times New Roman" w:eastAsia="宋体" w:cs="Times New Roman"/>
          <w:kern w:val="0"/>
          <w:sz w:val="24"/>
        </w:rPr>
        <w:t>招标</w:t>
      </w:r>
      <w:r>
        <w:rPr>
          <w:rFonts w:ascii="Times New Roman" w:hAnsi="Times New Roman" w:eastAsia="宋体" w:cs="Times New Roman"/>
          <w:kern w:val="0"/>
          <w:sz w:val="24"/>
        </w:rPr>
        <w:t>文件、采购过程、成交结果的质疑，应当在法定质疑期内一次性提出针对同一采购程序环节的质疑。</w:t>
      </w:r>
    </w:p>
    <w:p>
      <w:pPr>
        <w:spacing w:line="360" w:lineRule="auto"/>
        <w:rPr>
          <w:rFonts w:ascii="Times New Roman" w:hAnsi="Times New Roman" w:eastAsia="宋体" w:cs="Times New Roman"/>
          <w:b/>
          <w:sz w:val="24"/>
        </w:rPr>
      </w:pPr>
      <w:r>
        <w:rPr>
          <w:rFonts w:ascii="Times New Roman" w:hAnsi="Times New Roman" w:eastAsia="宋体" w:cs="Times New Roman"/>
          <w:b/>
          <w:sz w:val="24"/>
        </w:rPr>
        <w:t>一、项目概况</w:t>
      </w:r>
    </w:p>
    <w:p>
      <w:pPr>
        <w:adjustRightInd w:val="0"/>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为保障采购人日常办公需要、</w:t>
      </w:r>
      <w:r>
        <w:rPr>
          <w:rFonts w:hint="eastAsia" w:ascii="Times New Roman" w:hAnsi="Times New Roman" w:eastAsia="宋体" w:cs="Times New Roman"/>
          <w:sz w:val="24"/>
        </w:rPr>
        <w:t>业务系统数据传输</w:t>
      </w:r>
      <w:r>
        <w:rPr>
          <w:rFonts w:ascii="Times New Roman" w:hAnsi="Times New Roman" w:eastAsia="宋体" w:cs="Times New Roman"/>
          <w:sz w:val="24"/>
        </w:rPr>
        <w:t>以及业务数据共享需要，采购人需对拟投入使用的</w:t>
      </w:r>
      <w:r>
        <w:rPr>
          <w:rFonts w:hint="eastAsia" w:ascii="Times New Roman" w:hAnsi="Times New Roman" w:eastAsia="宋体" w:cs="Times New Roman"/>
          <w:sz w:val="24"/>
        </w:rPr>
        <w:t>1</w:t>
      </w:r>
      <w:r>
        <w:rPr>
          <w:rFonts w:ascii="Times New Roman" w:hAnsi="Times New Roman" w:eastAsia="宋体" w:cs="Times New Roman"/>
          <w:sz w:val="24"/>
        </w:rPr>
        <w:t>条链路</w:t>
      </w:r>
      <w:r>
        <w:rPr>
          <w:rFonts w:hint="eastAsia" w:ascii="Times New Roman" w:hAnsi="Times New Roman" w:eastAsia="宋体" w:cs="Times New Roman"/>
          <w:sz w:val="24"/>
        </w:rPr>
        <w:t>进行</w:t>
      </w:r>
      <w:r>
        <w:rPr>
          <w:rFonts w:ascii="Times New Roman" w:hAnsi="Times New Roman" w:eastAsia="宋体" w:cs="Times New Roman"/>
          <w:sz w:val="24"/>
        </w:rPr>
        <w:t>服务</w:t>
      </w:r>
      <w:r>
        <w:rPr>
          <w:rFonts w:hint="eastAsia" w:ascii="Times New Roman" w:hAnsi="Times New Roman" w:eastAsia="宋体" w:cs="Times New Roman"/>
          <w:sz w:val="24"/>
        </w:rPr>
        <w:t>租赁</w:t>
      </w:r>
      <w:r>
        <w:rPr>
          <w:rFonts w:ascii="Times New Roman" w:hAnsi="Times New Roman" w:eastAsia="宋体" w:cs="Times New Roman"/>
          <w:sz w:val="24"/>
        </w:rPr>
        <w:t>采购。</w:t>
      </w:r>
    </w:p>
    <w:p>
      <w:pPr>
        <w:spacing w:line="360" w:lineRule="auto"/>
        <w:rPr>
          <w:rFonts w:ascii="Times New Roman" w:hAnsi="Times New Roman" w:eastAsia="宋体" w:cs="Times New Roman"/>
          <w:b/>
          <w:sz w:val="24"/>
        </w:rPr>
      </w:pPr>
      <w:r>
        <w:rPr>
          <w:rFonts w:ascii="Times New Roman" w:hAnsi="Times New Roman" w:eastAsia="宋体" w:cs="Times New Roman"/>
          <w:b/>
          <w:sz w:val="24"/>
        </w:rPr>
        <w:t>二、服务范围</w:t>
      </w:r>
    </w:p>
    <w:p>
      <w:pPr>
        <w:adjustRightInd w:val="0"/>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拟投入使用链路</w:t>
      </w:r>
      <w:r>
        <w:rPr>
          <w:rFonts w:hint="eastAsia" w:ascii="Times New Roman" w:hAnsi="Times New Roman" w:eastAsia="宋体" w:cs="Times New Roman"/>
          <w:sz w:val="24"/>
        </w:rPr>
        <w:t>业务</w:t>
      </w:r>
      <w:r>
        <w:rPr>
          <w:rFonts w:ascii="Times New Roman" w:hAnsi="Times New Roman" w:eastAsia="宋体" w:cs="Times New Roman"/>
          <w:sz w:val="24"/>
        </w:rPr>
        <w:t>范围（共</w:t>
      </w:r>
      <w:r>
        <w:rPr>
          <w:rFonts w:hint="eastAsia" w:ascii="Times New Roman" w:hAnsi="Times New Roman" w:eastAsia="宋体" w:cs="Times New Roman"/>
          <w:sz w:val="24"/>
        </w:rPr>
        <w:t>1</w:t>
      </w:r>
      <w:r>
        <w:rPr>
          <w:rFonts w:ascii="Times New Roman" w:hAnsi="Times New Roman" w:eastAsia="宋体" w:cs="Times New Roman"/>
          <w:sz w:val="24"/>
        </w:rPr>
        <w:t>条）：</w:t>
      </w:r>
    </w:p>
    <w:p>
      <w:pPr>
        <w:adjustRightInd w:val="0"/>
        <w:snapToGrid w:val="0"/>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互联网</w:t>
      </w:r>
      <w:r>
        <w:rPr>
          <w:rFonts w:ascii="Times New Roman" w:hAnsi="Times New Roman" w:eastAsia="宋体" w:cs="Times New Roman"/>
          <w:sz w:val="24"/>
        </w:rPr>
        <w:t>专线</w:t>
      </w:r>
      <w:r>
        <w:rPr>
          <w:rFonts w:hint="eastAsia" w:ascii="Times New Roman" w:hAnsi="Times New Roman" w:eastAsia="宋体" w:cs="Times New Roman"/>
          <w:sz w:val="24"/>
        </w:rPr>
        <w:t>1</w:t>
      </w:r>
      <w:r>
        <w:rPr>
          <w:rFonts w:ascii="Times New Roman" w:hAnsi="Times New Roman" w:eastAsia="宋体" w:cs="Times New Roman"/>
          <w:sz w:val="24"/>
        </w:rPr>
        <w:t>条。</w:t>
      </w:r>
      <w:r>
        <w:rPr>
          <w:rFonts w:hint="eastAsia" w:ascii="Times New Roman" w:hAnsi="Times New Roman" w:eastAsia="宋体" w:cs="Times New Roman"/>
          <w:sz w:val="24"/>
        </w:rPr>
        <w:t>内部办公使用。</w:t>
      </w:r>
    </w:p>
    <w:p>
      <w:pPr>
        <w:adjustRightInd w:val="0"/>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具体链路租赁统计清单如下：</w:t>
      </w:r>
    </w:p>
    <w:tbl>
      <w:tblPr>
        <w:tblStyle w:val="4"/>
        <w:tblW w:w="7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126"/>
        <w:gridCol w:w="1730"/>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8" w:space="0"/>
              <w:left w:val="single" w:color="auto" w:sz="8" w:space="0"/>
              <w:bottom w:val="single" w:color="auto" w:sz="8" w:space="0"/>
              <w:right w:val="single" w:color="auto" w:sz="8" w:space="0"/>
            </w:tcBorders>
            <w:vAlign w:val="center"/>
          </w:tcPr>
          <w:p>
            <w:pPr>
              <w:spacing w:line="360" w:lineRule="exact"/>
              <w:jc w:val="center"/>
              <w:rPr>
                <w:rFonts w:ascii="Times New Roman" w:hAnsi="Times New Roman" w:eastAsia="宋体" w:cs="Times New Roman"/>
                <w:sz w:val="24"/>
              </w:rPr>
            </w:pPr>
            <w:r>
              <w:rPr>
                <w:rFonts w:ascii="Times New Roman" w:hAnsi="Times New Roman" w:eastAsia="宋体" w:cs="Times New Roman"/>
                <w:sz w:val="24"/>
              </w:rPr>
              <w:t>序号</w:t>
            </w:r>
          </w:p>
        </w:tc>
        <w:tc>
          <w:tcPr>
            <w:tcW w:w="2126" w:type="dxa"/>
            <w:tcBorders>
              <w:top w:val="single" w:color="auto" w:sz="8" w:space="0"/>
              <w:left w:val="single" w:color="auto" w:sz="8" w:space="0"/>
              <w:bottom w:val="single" w:color="auto" w:sz="8" w:space="0"/>
              <w:right w:val="single" w:color="auto" w:sz="8" w:space="0"/>
            </w:tcBorders>
            <w:vAlign w:val="center"/>
          </w:tcPr>
          <w:p>
            <w:pPr>
              <w:spacing w:line="360" w:lineRule="exact"/>
              <w:jc w:val="center"/>
              <w:rPr>
                <w:rFonts w:ascii="Times New Roman" w:hAnsi="Times New Roman" w:eastAsia="宋体" w:cs="Times New Roman"/>
                <w:sz w:val="24"/>
              </w:rPr>
            </w:pPr>
            <w:r>
              <w:rPr>
                <w:rFonts w:ascii="Times New Roman" w:hAnsi="Times New Roman" w:eastAsia="宋体" w:cs="Times New Roman"/>
                <w:sz w:val="24"/>
              </w:rPr>
              <w:t>链路类型</w:t>
            </w:r>
          </w:p>
        </w:tc>
        <w:tc>
          <w:tcPr>
            <w:tcW w:w="1730" w:type="dxa"/>
            <w:tcBorders>
              <w:top w:val="single" w:color="auto" w:sz="8" w:space="0"/>
              <w:left w:val="single" w:color="auto" w:sz="8" w:space="0"/>
              <w:bottom w:val="single" w:color="auto" w:sz="8" w:space="0"/>
              <w:right w:val="single" w:color="auto" w:sz="8" w:space="0"/>
            </w:tcBorders>
            <w:vAlign w:val="center"/>
          </w:tcPr>
          <w:p>
            <w:pPr>
              <w:spacing w:line="360" w:lineRule="exact"/>
              <w:jc w:val="center"/>
              <w:rPr>
                <w:rFonts w:ascii="Times New Roman" w:hAnsi="Times New Roman" w:eastAsia="宋体" w:cs="Times New Roman"/>
                <w:sz w:val="24"/>
              </w:rPr>
            </w:pPr>
            <w:r>
              <w:rPr>
                <w:rFonts w:ascii="Times New Roman" w:hAnsi="Times New Roman" w:eastAsia="宋体" w:cs="Times New Roman"/>
                <w:sz w:val="24"/>
              </w:rPr>
              <w:t>带宽</w:t>
            </w:r>
          </w:p>
        </w:tc>
        <w:tc>
          <w:tcPr>
            <w:tcW w:w="2161" w:type="dxa"/>
            <w:tcBorders>
              <w:top w:val="single" w:color="auto" w:sz="8" w:space="0"/>
              <w:left w:val="single" w:color="auto" w:sz="8" w:space="0"/>
              <w:bottom w:val="single" w:color="auto" w:sz="8" w:space="0"/>
              <w:right w:val="single" w:color="auto" w:sz="8" w:space="0"/>
            </w:tcBorders>
            <w:vAlign w:val="center"/>
          </w:tcPr>
          <w:p>
            <w:pPr>
              <w:spacing w:line="360" w:lineRule="exact"/>
              <w:jc w:val="center"/>
              <w:rPr>
                <w:rFonts w:ascii="Times New Roman" w:hAnsi="Times New Roman" w:eastAsia="宋体" w:cs="Times New Roman"/>
                <w:sz w:val="24"/>
              </w:rPr>
            </w:pPr>
            <w:r>
              <w:rPr>
                <w:rFonts w:ascii="Times New Roman" w:hAnsi="Times New Roman" w:eastAsia="宋体" w:cs="Times New Roman"/>
                <w:sz w:val="24"/>
              </w:rPr>
              <w:t>数量（条）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8" w:space="0"/>
              <w:left w:val="single" w:color="auto" w:sz="8" w:space="0"/>
              <w:bottom w:val="single" w:color="auto" w:sz="8" w:space="0"/>
              <w:right w:val="single" w:color="auto" w:sz="8" w:space="0"/>
            </w:tcBorders>
            <w:vAlign w:val="center"/>
          </w:tcPr>
          <w:p>
            <w:pPr>
              <w:spacing w:line="360" w:lineRule="exact"/>
              <w:jc w:val="center"/>
              <w:rPr>
                <w:rFonts w:ascii="Times New Roman" w:hAnsi="Times New Roman" w:eastAsia="宋体" w:cs="Times New Roman"/>
                <w:sz w:val="24"/>
              </w:rPr>
            </w:pPr>
            <w:r>
              <w:rPr>
                <w:rFonts w:hint="eastAsia" w:ascii="Times New Roman" w:hAnsi="Times New Roman" w:eastAsia="宋体" w:cs="Times New Roman"/>
                <w:sz w:val="24"/>
              </w:rPr>
              <w:t>1</w:t>
            </w:r>
          </w:p>
        </w:tc>
        <w:tc>
          <w:tcPr>
            <w:tcW w:w="2126" w:type="dxa"/>
            <w:tcBorders>
              <w:top w:val="single" w:color="auto" w:sz="8" w:space="0"/>
              <w:left w:val="single" w:color="auto" w:sz="8" w:space="0"/>
              <w:bottom w:val="single" w:color="auto" w:sz="8" w:space="0"/>
              <w:right w:val="single" w:color="auto" w:sz="8" w:space="0"/>
            </w:tcBorders>
            <w:vAlign w:val="center"/>
          </w:tcPr>
          <w:p>
            <w:pPr>
              <w:spacing w:line="360" w:lineRule="exact"/>
              <w:jc w:val="center"/>
              <w:rPr>
                <w:rFonts w:ascii="Times New Roman" w:hAnsi="Times New Roman" w:eastAsia="宋体" w:cs="Times New Roman"/>
                <w:sz w:val="24"/>
              </w:rPr>
            </w:pPr>
            <w:r>
              <w:rPr>
                <w:rFonts w:hint="eastAsia" w:ascii="Times New Roman" w:hAnsi="Times New Roman" w:eastAsia="宋体" w:cs="Times New Roman"/>
                <w:sz w:val="24"/>
              </w:rPr>
              <w:t>互联网专线</w:t>
            </w:r>
          </w:p>
        </w:tc>
        <w:tc>
          <w:tcPr>
            <w:tcW w:w="1730" w:type="dxa"/>
            <w:tcBorders>
              <w:top w:val="single" w:color="auto" w:sz="8" w:space="0"/>
              <w:left w:val="single" w:color="auto" w:sz="8" w:space="0"/>
              <w:bottom w:val="single" w:color="auto" w:sz="8" w:space="0"/>
              <w:right w:val="single" w:color="auto" w:sz="8" w:space="0"/>
            </w:tcBorders>
            <w:vAlign w:val="center"/>
          </w:tcPr>
          <w:p>
            <w:pPr>
              <w:spacing w:line="360" w:lineRule="exact"/>
              <w:jc w:val="center"/>
              <w:rPr>
                <w:rFonts w:ascii="Times New Roman" w:hAnsi="Times New Roman" w:eastAsia="宋体" w:cs="Times New Roman"/>
                <w:sz w:val="24"/>
              </w:rPr>
            </w:pPr>
            <w:r>
              <w:rPr>
                <w:rFonts w:hint="eastAsia" w:ascii="Times New Roman" w:hAnsi="Times New Roman" w:eastAsia="宋体" w:cs="Times New Roman"/>
                <w:sz w:val="24"/>
              </w:rPr>
              <w:t>200</w:t>
            </w:r>
            <w:r>
              <w:rPr>
                <w:rFonts w:ascii="Times New Roman" w:hAnsi="Times New Roman" w:eastAsia="宋体" w:cs="Times New Roman"/>
                <w:sz w:val="24"/>
              </w:rPr>
              <w:t>M</w:t>
            </w:r>
          </w:p>
        </w:tc>
        <w:tc>
          <w:tcPr>
            <w:tcW w:w="2161" w:type="dxa"/>
            <w:tcBorders>
              <w:top w:val="single" w:color="auto" w:sz="8" w:space="0"/>
              <w:left w:val="single" w:color="auto" w:sz="8" w:space="0"/>
              <w:bottom w:val="single" w:color="auto" w:sz="8" w:space="0"/>
              <w:right w:val="single" w:color="auto" w:sz="8" w:space="0"/>
            </w:tcBorders>
            <w:vAlign w:val="center"/>
          </w:tcPr>
          <w:p>
            <w:pPr>
              <w:spacing w:line="360" w:lineRule="exact"/>
              <w:jc w:val="center"/>
              <w:rPr>
                <w:rFonts w:ascii="Times New Roman" w:hAnsi="Times New Roman" w:eastAsia="宋体" w:cs="Times New Roman"/>
                <w:sz w:val="24"/>
              </w:rPr>
            </w:pPr>
            <w:r>
              <w:rPr>
                <w:rFonts w:hint="eastAsia" w:ascii="Times New Roman" w:hAnsi="Times New Roman" w:eastAsia="宋体" w:cs="Times New Roman"/>
                <w:sz w:val="24"/>
              </w:rPr>
              <w:t>1</w:t>
            </w:r>
          </w:p>
        </w:tc>
      </w:tr>
    </w:tbl>
    <w:p>
      <w:pPr>
        <w:spacing w:line="360" w:lineRule="auto"/>
        <w:rPr>
          <w:rFonts w:ascii="Times New Roman" w:hAnsi="Times New Roman" w:eastAsia="宋体" w:cs="Times New Roman"/>
          <w:b/>
          <w:sz w:val="24"/>
        </w:rPr>
      </w:pPr>
      <w:r>
        <w:rPr>
          <w:rFonts w:ascii="Times New Roman" w:hAnsi="Times New Roman" w:eastAsia="宋体" w:cs="Times New Roman"/>
          <w:b/>
          <w:sz w:val="24"/>
        </w:rPr>
        <w:t>三、链路</w:t>
      </w:r>
      <w:r>
        <w:rPr>
          <w:rFonts w:hint="eastAsia" w:ascii="Times New Roman" w:hAnsi="Times New Roman" w:eastAsia="宋体" w:cs="Times New Roman"/>
          <w:b/>
          <w:sz w:val="24"/>
        </w:rPr>
        <w:t>及融合通信</w:t>
      </w:r>
      <w:r>
        <w:rPr>
          <w:rFonts w:ascii="Times New Roman" w:hAnsi="Times New Roman" w:eastAsia="宋体" w:cs="Times New Roman"/>
          <w:b/>
          <w:sz w:val="24"/>
        </w:rPr>
        <w:t>参数要求</w:t>
      </w:r>
    </w:p>
    <w:tbl>
      <w:tblPr>
        <w:tblStyle w:val="4"/>
        <w:tblW w:w="7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5268"/>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636" w:type="dxa"/>
            <w:vAlign w:val="center"/>
          </w:tcPr>
          <w:p>
            <w:pPr>
              <w:adjustRightInd w:val="0"/>
              <w:snapToGrid w:val="0"/>
              <w:jc w:val="center"/>
              <w:rPr>
                <w:rFonts w:ascii="Times New Roman" w:hAnsi="Times New Roman" w:eastAsia="宋体" w:cs="Times New Roman"/>
                <w:sz w:val="24"/>
              </w:rPr>
            </w:pPr>
            <w:r>
              <w:rPr>
                <w:rFonts w:ascii="Times New Roman" w:hAnsi="Times New Roman" w:eastAsia="宋体" w:cs="Times New Roman"/>
                <w:sz w:val="24"/>
              </w:rPr>
              <w:t>链路类型</w:t>
            </w:r>
          </w:p>
        </w:tc>
        <w:tc>
          <w:tcPr>
            <w:tcW w:w="5268" w:type="dxa"/>
            <w:vAlign w:val="center"/>
          </w:tcPr>
          <w:p>
            <w:pPr>
              <w:adjustRightInd w:val="0"/>
              <w:snapToGrid w:val="0"/>
              <w:jc w:val="center"/>
              <w:rPr>
                <w:rFonts w:ascii="Times New Roman" w:hAnsi="Times New Roman" w:eastAsia="宋体" w:cs="Times New Roman"/>
                <w:sz w:val="24"/>
              </w:rPr>
            </w:pPr>
            <w:r>
              <w:rPr>
                <w:rFonts w:ascii="Times New Roman" w:hAnsi="Times New Roman" w:eastAsia="宋体" w:cs="Times New Roman"/>
                <w:sz w:val="24"/>
              </w:rPr>
              <w:t>参  数</w:t>
            </w:r>
          </w:p>
        </w:tc>
        <w:tc>
          <w:tcPr>
            <w:tcW w:w="1635" w:type="dxa"/>
            <w:vAlign w:val="center"/>
          </w:tcPr>
          <w:p>
            <w:pPr>
              <w:adjustRightInd w:val="0"/>
              <w:snapToGrid w:val="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8" w:hRule="atLeast"/>
          <w:jc w:val="center"/>
        </w:trPr>
        <w:tc>
          <w:tcPr>
            <w:tcW w:w="636" w:type="dxa"/>
            <w:vAlign w:val="center"/>
          </w:tcPr>
          <w:p>
            <w:pPr>
              <w:adjustRightInd w:val="0"/>
              <w:snapToGrid w:val="0"/>
              <w:jc w:val="center"/>
              <w:rPr>
                <w:rFonts w:ascii="Times New Roman" w:hAnsi="Times New Roman" w:eastAsia="宋体" w:cs="Times New Roman"/>
                <w:sz w:val="24"/>
              </w:rPr>
            </w:pPr>
            <w:r>
              <w:rPr>
                <w:rFonts w:ascii="Times New Roman" w:hAnsi="Times New Roman" w:eastAsia="宋体" w:cs="Times New Roman"/>
                <w:sz w:val="24"/>
              </w:rPr>
              <w:t>互联网</w:t>
            </w:r>
            <w:r>
              <w:rPr>
                <w:rFonts w:hint="eastAsia" w:ascii="Times New Roman" w:hAnsi="Times New Roman" w:eastAsia="宋体" w:cs="Times New Roman"/>
                <w:sz w:val="24"/>
              </w:rPr>
              <w:t>专线</w:t>
            </w:r>
          </w:p>
        </w:tc>
        <w:tc>
          <w:tcPr>
            <w:tcW w:w="5268" w:type="dxa"/>
            <w:vAlign w:val="center"/>
          </w:tcPr>
          <w:p>
            <w:pPr>
              <w:adjustRightInd w:val="0"/>
              <w:snapToGrid w:val="0"/>
              <w:jc w:val="left"/>
              <w:rPr>
                <w:rFonts w:ascii="Times New Roman" w:hAnsi="Times New Roman" w:eastAsia="宋体" w:cs="Times New Roman"/>
                <w:sz w:val="24"/>
              </w:rPr>
            </w:pPr>
            <w:r>
              <w:rPr>
                <w:rFonts w:ascii="Times New Roman" w:hAnsi="Times New Roman" w:eastAsia="宋体" w:cs="Times New Roman"/>
                <w:sz w:val="24"/>
              </w:rPr>
              <w:t>1、接入方式：光缆布放至客户端，纤芯为单模光纤接入地点，根据采购人要求地点接入；</w:t>
            </w:r>
          </w:p>
          <w:p>
            <w:pPr>
              <w:adjustRightInd w:val="0"/>
              <w:snapToGrid w:val="0"/>
              <w:jc w:val="left"/>
              <w:rPr>
                <w:rFonts w:ascii="Times New Roman" w:hAnsi="Times New Roman" w:eastAsia="宋体" w:cs="Times New Roman"/>
                <w:sz w:val="24"/>
              </w:rPr>
            </w:pPr>
            <w:r>
              <w:rPr>
                <w:rFonts w:ascii="Times New Roman" w:hAnsi="Times New Roman" w:eastAsia="宋体" w:cs="Times New Roman"/>
                <w:sz w:val="24"/>
              </w:rPr>
              <w:t>2、IP地址：提供公网固定IP地址</w:t>
            </w:r>
            <w:r>
              <w:rPr>
                <w:rFonts w:hint="eastAsia" w:ascii="Times New Roman" w:hAnsi="Times New Roman" w:eastAsia="宋体" w:cs="Times New Roman"/>
                <w:sz w:val="24"/>
              </w:rPr>
              <w:t>，不少于4个固定IP；</w:t>
            </w:r>
          </w:p>
          <w:p>
            <w:pPr>
              <w:adjustRightInd w:val="0"/>
              <w:snapToGrid w:val="0"/>
              <w:jc w:val="left"/>
              <w:rPr>
                <w:rFonts w:ascii="Times New Roman" w:hAnsi="Times New Roman" w:eastAsia="宋体" w:cs="Times New Roman"/>
                <w:sz w:val="24"/>
              </w:rPr>
            </w:pPr>
            <w:r>
              <w:rPr>
                <w:rFonts w:ascii="Times New Roman" w:hAnsi="Times New Roman" w:eastAsia="宋体" w:cs="Times New Roman"/>
                <w:sz w:val="24"/>
              </w:rPr>
              <w:t>3、带宽要求：独享带宽，不得与其他接入用户共享线路及带宽资源。</w:t>
            </w:r>
          </w:p>
          <w:p>
            <w:pPr>
              <w:adjustRightInd w:val="0"/>
              <w:snapToGrid w:val="0"/>
              <w:jc w:val="left"/>
              <w:rPr>
                <w:rFonts w:ascii="Times New Roman" w:hAnsi="Times New Roman" w:eastAsia="宋体" w:cs="Times New Roman"/>
                <w:sz w:val="24"/>
              </w:rPr>
            </w:pPr>
            <w:r>
              <w:rPr>
                <w:rFonts w:ascii="Times New Roman" w:hAnsi="Times New Roman" w:eastAsia="宋体" w:cs="Times New Roman"/>
                <w:sz w:val="24"/>
              </w:rPr>
              <w:t>4、互联要求：此条互联网专线到运营商接入点的路由跳数不大于3跳。</w:t>
            </w:r>
          </w:p>
          <w:p>
            <w:pPr>
              <w:adjustRightInd w:val="0"/>
              <w:snapToGrid w:val="0"/>
              <w:jc w:val="left"/>
              <w:rPr>
                <w:rFonts w:ascii="Times New Roman" w:hAnsi="Times New Roman" w:eastAsia="宋体" w:cs="Times New Roman"/>
                <w:sz w:val="24"/>
              </w:rPr>
            </w:pPr>
            <w:r>
              <w:rPr>
                <w:rFonts w:ascii="Times New Roman" w:hAnsi="Times New Roman" w:eastAsia="宋体" w:cs="Times New Roman"/>
                <w:sz w:val="24"/>
              </w:rPr>
              <w:t>5、链路质量：网络设备端口到供方局端网络设备网络时延≤10ms；网络设备端口到供方局端网络设备网络丢包率≤0.1‰。</w:t>
            </w:r>
          </w:p>
          <w:p>
            <w:pPr>
              <w:adjustRightInd w:val="0"/>
              <w:snapToGrid w:val="0"/>
              <w:jc w:val="left"/>
              <w:rPr>
                <w:rFonts w:ascii="Times New Roman" w:hAnsi="Times New Roman" w:eastAsia="宋体" w:cs="Times New Roman"/>
                <w:sz w:val="24"/>
              </w:rPr>
            </w:pPr>
            <w:r>
              <w:rPr>
                <w:rFonts w:ascii="Times New Roman" w:hAnsi="Times New Roman" w:eastAsia="宋体" w:cs="Times New Roman"/>
                <w:sz w:val="24"/>
              </w:rPr>
              <w:t>6、扩展性要求：具有良好的扩展性和可升级性，确保满足将来因业务发展而产生的升级扩展需求。</w:t>
            </w:r>
          </w:p>
        </w:tc>
        <w:tc>
          <w:tcPr>
            <w:tcW w:w="1635" w:type="dxa"/>
            <w:vAlign w:val="center"/>
          </w:tcPr>
          <w:p>
            <w:pPr>
              <w:adjustRightInd w:val="0"/>
              <w:snapToGrid w:val="0"/>
              <w:jc w:val="left"/>
              <w:rPr>
                <w:rFonts w:ascii="Times New Roman" w:hAnsi="Times New Roman" w:eastAsia="宋体" w:cs="Times New Roman"/>
                <w:sz w:val="24"/>
              </w:rPr>
            </w:pPr>
          </w:p>
        </w:tc>
      </w:tr>
    </w:tbl>
    <w:p>
      <w:pPr>
        <w:adjustRightInd w:val="0"/>
        <w:snapToGrid w:val="0"/>
        <w:spacing w:line="360" w:lineRule="auto"/>
        <w:ind w:firstLine="482" w:firstLineChars="200"/>
        <w:rPr>
          <w:rFonts w:hint="eastAsia" w:ascii="Times New Roman" w:hAnsi="Times New Roman" w:eastAsia="宋体" w:cs="Times New Roman"/>
          <w:b/>
          <w:sz w:val="24"/>
          <w:lang w:val="en-US" w:eastAsia="zh-CN"/>
        </w:rPr>
      </w:pPr>
      <w:r>
        <w:rPr>
          <w:rFonts w:hint="eastAsia" w:ascii="Times New Roman" w:hAnsi="Times New Roman" w:eastAsia="宋体" w:cs="Times New Roman"/>
          <w:b/>
          <w:sz w:val="24"/>
          <w:lang w:val="en-US" w:eastAsia="zh-CN"/>
        </w:rPr>
        <w:t xml:space="preserve">                                        公司盖章：</w:t>
      </w:r>
    </w:p>
    <w:p>
      <w:pPr>
        <w:adjustRightInd w:val="0"/>
        <w:snapToGrid w:val="0"/>
        <w:spacing w:line="360" w:lineRule="auto"/>
        <w:ind w:firstLine="482" w:firstLineChars="200"/>
        <w:rPr>
          <w:rFonts w:hint="default" w:ascii="Times New Roman" w:hAnsi="Times New Roman" w:eastAsia="宋体" w:cs="Times New Roman"/>
          <w:b/>
          <w:sz w:val="24"/>
          <w:lang w:val="en-US" w:eastAsia="zh-CN"/>
        </w:rPr>
      </w:pPr>
      <w:r>
        <w:rPr>
          <w:rFonts w:hint="eastAsia" w:ascii="Times New Roman" w:hAnsi="Times New Roman" w:eastAsia="宋体" w:cs="Times New Roman"/>
          <w:b/>
          <w:sz w:val="24"/>
          <w:lang w:val="en-US" w:eastAsia="zh-CN"/>
        </w:rPr>
        <w:t xml:space="preserve">                                         日期：</w:t>
      </w:r>
    </w:p>
    <w:p>
      <w:pPr>
        <w:adjustRightInd w:val="0"/>
        <w:snapToGrid w:val="0"/>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四、技术要求</w:t>
      </w:r>
    </w:p>
    <w:p>
      <w:pPr>
        <w:adjustRightInd w:val="0"/>
        <w:snapToGrid w:val="0"/>
        <w:spacing w:line="360" w:lineRule="auto"/>
        <w:ind w:firstLine="480" w:firstLineChars="200"/>
        <w:jc w:val="left"/>
        <w:rPr>
          <w:rFonts w:ascii="Times New Roman" w:hAnsi="Times New Roman" w:cs="Times New Roman"/>
          <w:sz w:val="24"/>
        </w:rPr>
      </w:pPr>
      <w:r>
        <w:rPr>
          <w:rFonts w:hint="eastAsia" w:ascii="Times New Roman" w:hAnsi="Times New Roman" w:cs="Times New Roman"/>
          <w:sz w:val="24"/>
        </w:rPr>
        <w:t>1、</w:t>
      </w:r>
      <w:r>
        <w:rPr>
          <w:rFonts w:ascii="Times New Roman" w:hAnsi="Times New Roman" w:cs="Times New Roman"/>
          <w:sz w:val="24"/>
        </w:rPr>
        <w:t>成交供应商须保证采购人现有网络架构体系完整、网络使用稳定，不得影响日常办公、业务应用、数据共享及信息安全等方面的工作</w:t>
      </w:r>
      <w:r>
        <w:rPr>
          <w:rFonts w:hint="eastAsia" w:ascii="Times New Roman" w:hAnsi="Times New Roman" w:cs="Times New Roman"/>
          <w:sz w:val="24"/>
        </w:rPr>
        <w:t>。</w:t>
      </w:r>
    </w:p>
    <w:p>
      <w:pPr>
        <w:adjustRightInd w:val="0"/>
        <w:snapToGrid w:val="0"/>
        <w:spacing w:line="360" w:lineRule="auto"/>
        <w:ind w:firstLine="480" w:firstLineChars="200"/>
        <w:jc w:val="left"/>
        <w:rPr>
          <w:rFonts w:ascii="Times New Roman" w:hAnsi="Times New Roman" w:cs="Times New Roman"/>
          <w:sz w:val="24"/>
        </w:rPr>
      </w:pPr>
      <w:r>
        <w:rPr>
          <w:rFonts w:hint="eastAsia" w:ascii="Times New Roman" w:hAnsi="Times New Roman" w:cs="Times New Roman"/>
          <w:sz w:val="24"/>
        </w:rPr>
        <w:t>2、</w:t>
      </w:r>
      <w:r>
        <w:rPr>
          <w:rFonts w:ascii="Times New Roman" w:hAnsi="Times New Roman" w:cs="Times New Roman"/>
          <w:sz w:val="24"/>
        </w:rPr>
        <w:t>成交供应商</w:t>
      </w:r>
      <w:r>
        <w:rPr>
          <w:rFonts w:hint="eastAsia" w:ascii="Times New Roman" w:hAnsi="Times New Roman" w:cs="Times New Roman"/>
          <w:sz w:val="24"/>
        </w:rPr>
        <w:t>对拟建</w:t>
      </w:r>
      <w:r>
        <w:rPr>
          <w:rFonts w:ascii="Times New Roman" w:hAnsi="Times New Roman" w:cs="Times New Roman"/>
          <w:sz w:val="24"/>
        </w:rPr>
        <w:t>链路安装地点、关联设备及系统自行勘察，</w:t>
      </w:r>
      <w:r>
        <w:rPr>
          <w:rFonts w:hint="eastAsia" w:ascii="Times New Roman" w:hAnsi="Times New Roman" w:cs="Times New Roman"/>
          <w:sz w:val="24"/>
        </w:rPr>
        <w:t>并制定详细、合理的施工计划；</w:t>
      </w:r>
    </w:p>
    <w:p>
      <w:pPr>
        <w:adjustRightInd w:val="0"/>
        <w:snapToGrid w:val="0"/>
        <w:spacing w:line="360" w:lineRule="auto"/>
        <w:ind w:firstLine="480" w:firstLineChars="200"/>
        <w:jc w:val="left"/>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成交供应商新建链路须接入采购人指定的位置，自采购人下达书面通知，成交供应商15日内完成线路的施工、设备安装、调试及开通，同时提供PING包成功截图等资料</w:t>
      </w:r>
      <w:r>
        <w:rPr>
          <w:rFonts w:hint="eastAsia" w:ascii="Times New Roman" w:hAnsi="Times New Roman" w:cs="Times New Roman"/>
          <w:sz w:val="24"/>
        </w:rPr>
        <w:t>；</w:t>
      </w:r>
    </w:p>
    <w:p>
      <w:pPr>
        <w:adjustRightInd w:val="0"/>
        <w:snapToGrid w:val="0"/>
        <w:spacing w:line="360" w:lineRule="auto"/>
        <w:ind w:firstLine="480" w:firstLineChars="200"/>
        <w:jc w:val="left"/>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成交供应商须提供7×24小时运维服务。接到采购人的报修电话，成交供应商技术人员须在15分钟内响应，并在1小时内赶到使用现场实施维修，链路故障每月平均恢复时间不超过2小时。每季巡检，并提供所租链路的运行质量报告。</w:t>
      </w:r>
    </w:p>
    <w:p>
      <w:pPr>
        <w:adjustRightInd w:val="0"/>
        <w:snapToGrid w:val="0"/>
        <w:spacing w:line="360" w:lineRule="auto"/>
        <w:ind w:firstLine="480" w:firstLineChars="200"/>
        <w:jc w:val="left"/>
        <w:rPr>
          <w:rFonts w:ascii="Times New Roman" w:hAnsi="Times New Roman" w:cs="Times New Roman"/>
          <w:sz w:val="24"/>
        </w:rPr>
      </w:pPr>
      <w:r>
        <w:rPr>
          <w:rFonts w:hint="eastAsia" w:ascii="Times New Roman" w:hAnsi="Times New Roman" w:cs="Times New Roman"/>
          <w:sz w:val="24"/>
        </w:rPr>
        <w:t>5、</w:t>
      </w:r>
      <w:r>
        <w:rPr>
          <w:rFonts w:ascii="Times New Roman" w:hAnsi="Times New Roman" w:cs="Times New Roman"/>
          <w:sz w:val="24"/>
        </w:rPr>
        <w:t>未经采购人书面许可，成交供应商不得向第三方提供或披露与采购人业务有关的资料和信息。</w:t>
      </w:r>
    </w:p>
    <w:p>
      <w:pPr>
        <w:adjustRightInd w:val="0"/>
        <w:snapToGrid w:val="0"/>
        <w:spacing w:line="360" w:lineRule="auto"/>
        <w:ind w:firstLine="482" w:firstLineChars="200"/>
        <w:jc w:val="left"/>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五、报价单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adjustRightInd w:val="0"/>
              <w:snapToGrid w:val="0"/>
              <w:spacing w:line="360" w:lineRule="auto"/>
              <w:jc w:val="center"/>
              <w:rPr>
                <w:rFonts w:hint="default" w:ascii="Times New Roman" w:hAnsi="Times New Roman" w:cs="Times New Roman"/>
                <w:b/>
                <w:bCs/>
                <w:sz w:val="24"/>
                <w:vertAlign w:val="baseline"/>
                <w:lang w:val="en-US" w:eastAsia="zh-CN"/>
              </w:rPr>
            </w:pPr>
            <w:r>
              <w:rPr>
                <w:rFonts w:hint="eastAsia" w:ascii="Times New Roman" w:hAnsi="Times New Roman" w:cs="Times New Roman"/>
                <w:b/>
                <w:bCs/>
                <w:sz w:val="24"/>
                <w:vertAlign w:val="baseline"/>
                <w:lang w:val="en-US" w:eastAsia="zh-CN"/>
              </w:rPr>
              <w:t>序号</w:t>
            </w:r>
          </w:p>
        </w:tc>
        <w:tc>
          <w:tcPr>
            <w:tcW w:w="2841" w:type="dxa"/>
          </w:tcPr>
          <w:p>
            <w:pPr>
              <w:adjustRightInd w:val="0"/>
              <w:snapToGrid w:val="0"/>
              <w:spacing w:line="360" w:lineRule="auto"/>
              <w:jc w:val="center"/>
              <w:rPr>
                <w:rFonts w:hint="default" w:ascii="Times New Roman" w:hAnsi="Times New Roman" w:cs="Times New Roman"/>
                <w:b/>
                <w:bCs/>
                <w:sz w:val="24"/>
                <w:vertAlign w:val="baseline"/>
                <w:lang w:val="en-US" w:eastAsia="zh-CN"/>
              </w:rPr>
            </w:pPr>
            <w:r>
              <w:rPr>
                <w:rFonts w:hint="eastAsia" w:ascii="Times New Roman" w:hAnsi="Times New Roman" w:cs="Times New Roman"/>
                <w:b/>
                <w:bCs/>
                <w:sz w:val="24"/>
                <w:vertAlign w:val="baseline"/>
                <w:lang w:val="en-US" w:eastAsia="zh-CN"/>
              </w:rPr>
              <w:t>名称</w:t>
            </w:r>
          </w:p>
        </w:tc>
        <w:tc>
          <w:tcPr>
            <w:tcW w:w="2841" w:type="dxa"/>
          </w:tcPr>
          <w:p>
            <w:pPr>
              <w:adjustRightInd w:val="0"/>
              <w:snapToGrid w:val="0"/>
              <w:spacing w:line="360" w:lineRule="auto"/>
              <w:jc w:val="center"/>
              <w:rPr>
                <w:rFonts w:hint="default" w:ascii="Times New Roman" w:hAnsi="Times New Roman" w:cs="Times New Roman"/>
                <w:b/>
                <w:bCs/>
                <w:sz w:val="24"/>
                <w:vertAlign w:val="baseline"/>
                <w:lang w:val="en-US" w:eastAsia="zh-CN"/>
              </w:rPr>
            </w:pPr>
            <w:r>
              <w:rPr>
                <w:rFonts w:hint="eastAsia" w:ascii="Times New Roman" w:hAnsi="Times New Roman" w:cs="Times New Roman"/>
                <w:b/>
                <w:bCs/>
                <w:sz w:val="24"/>
                <w:vertAlign w:val="baseline"/>
                <w:lang w:val="en-US" w:eastAsia="zh-CN"/>
              </w:rPr>
              <w:t>价格（元/月）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adjustRightInd w:val="0"/>
              <w:snapToGrid w:val="0"/>
              <w:spacing w:line="360" w:lineRule="auto"/>
              <w:jc w:val="center"/>
              <w:rPr>
                <w:rFonts w:hint="default" w:ascii="Times New Roman" w:hAnsi="Times New Roman" w:cs="Times New Roman"/>
                <w:b/>
                <w:bCs/>
                <w:sz w:val="24"/>
                <w:vertAlign w:val="baseline"/>
                <w:lang w:val="en-US" w:eastAsia="zh-CN"/>
              </w:rPr>
            </w:pPr>
            <w:r>
              <w:rPr>
                <w:rFonts w:hint="eastAsia" w:ascii="Times New Roman" w:hAnsi="Times New Roman" w:cs="Times New Roman"/>
                <w:b/>
                <w:bCs/>
                <w:sz w:val="24"/>
                <w:vertAlign w:val="baseline"/>
                <w:lang w:val="en-US" w:eastAsia="zh-CN"/>
              </w:rPr>
              <w:t>1</w:t>
            </w:r>
          </w:p>
        </w:tc>
        <w:tc>
          <w:tcPr>
            <w:tcW w:w="2841" w:type="dxa"/>
          </w:tcPr>
          <w:p>
            <w:pPr>
              <w:adjustRightInd w:val="0"/>
              <w:snapToGrid w:val="0"/>
              <w:spacing w:line="360" w:lineRule="auto"/>
              <w:jc w:val="center"/>
              <w:rPr>
                <w:rFonts w:hint="eastAsia" w:ascii="Times New Roman" w:hAnsi="Times New Roman" w:cs="Times New Roman"/>
                <w:b/>
                <w:bCs/>
                <w:sz w:val="24"/>
                <w:vertAlign w:val="baseline"/>
                <w:lang w:val="en-US" w:eastAsia="zh-CN"/>
              </w:rPr>
            </w:pPr>
            <w:r>
              <w:rPr>
                <w:rFonts w:hint="eastAsia" w:ascii="宋体" w:hAnsi="宋体" w:eastAsia="宋体" w:cs="宋体"/>
                <w:b/>
                <w:bCs/>
                <w:sz w:val="28"/>
                <w:szCs w:val="28"/>
                <w:lang w:val="en-US" w:eastAsia="zh-CN"/>
              </w:rPr>
              <w:t>办公网络租赁服务</w:t>
            </w:r>
          </w:p>
        </w:tc>
        <w:tc>
          <w:tcPr>
            <w:tcW w:w="2841" w:type="dxa"/>
          </w:tcPr>
          <w:p>
            <w:pPr>
              <w:adjustRightInd w:val="0"/>
              <w:snapToGrid w:val="0"/>
              <w:spacing w:line="360" w:lineRule="auto"/>
              <w:jc w:val="center"/>
              <w:rPr>
                <w:rFonts w:hint="eastAsia" w:ascii="Times New Roman" w:hAnsi="Times New Roman" w:cs="Times New Roman"/>
                <w:b/>
                <w:bCs/>
                <w:sz w:val="24"/>
                <w:vertAlign w:val="baseline"/>
                <w:lang w:val="en-US" w:eastAsia="zh-CN"/>
              </w:rPr>
            </w:pPr>
          </w:p>
        </w:tc>
      </w:tr>
    </w:tbl>
    <w:p>
      <w:pPr>
        <w:adjustRightInd w:val="0"/>
        <w:snapToGrid w:val="0"/>
        <w:spacing w:line="360" w:lineRule="auto"/>
        <w:ind w:firstLine="482" w:firstLineChars="200"/>
        <w:jc w:val="left"/>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 xml:space="preserve">                       </w:t>
      </w:r>
    </w:p>
    <w:p>
      <w:pPr>
        <w:adjustRightInd w:val="0"/>
        <w:snapToGrid w:val="0"/>
        <w:spacing w:line="360" w:lineRule="auto"/>
        <w:ind w:firstLine="482" w:firstLineChars="200"/>
        <w:jc w:val="left"/>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 xml:space="preserve">                                      公司盖章：</w:t>
      </w:r>
    </w:p>
    <w:p>
      <w:pPr>
        <w:adjustRightInd w:val="0"/>
        <w:snapToGrid w:val="0"/>
        <w:spacing w:line="360" w:lineRule="auto"/>
        <w:ind w:firstLine="482" w:firstLineChars="200"/>
        <w:jc w:val="left"/>
        <w:rPr>
          <w:rFonts w:hint="default" w:ascii="Times New Roman" w:hAnsi="Times New Roman" w:cs="Times New Roman"/>
          <w:b/>
          <w:bCs/>
          <w:sz w:val="24"/>
          <w:lang w:val="en-US" w:eastAsia="zh-CN"/>
        </w:rPr>
      </w:pPr>
      <w:r>
        <w:rPr>
          <w:rFonts w:hint="eastAsia" w:ascii="Times New Roman" w:hAnsi="Times New Roman" w:cs="Times New Roman"/>
          <w:b/>
          <w:bCs/>
          <w:sz w:val="24"/>
          <w:lang w:val="en-US" w:eastAsia="zh-CN"/>
        </w:rPr>
        <w:t xml:space="preserve">                                        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B0E92"/>
    <w:rsid w:val="00016708"/>
    <w:rsid w:val="00105931"/>
    <w:rsid w:val="0039638F"/>
    <w:rsid w:val="004B4A92"/>
    <w:rsid w:val="00575D61"/>
    <w:rsid w:val="00833F02"/>
    <w:rsid w:val="009B0E92"/>
    <w:rsid w:val="00D3685B"/>
    <w:rsid w:val="00F94770"/>
    <w:rsid w:val="016425E9"/>
    <w:rsid w:val="05C73F4B"/>
    <w:rsid w:val="0B6E12DD"/>
    <w:rsid w:val="11D72FEF"/>
    <w:rsid w:val="1C2A35AA"/>
    <w:rsid w:val="2A0B05B2"/>
    <w:rsid w:val="323C0597"/>
    <w:rsid w:val="50636058"/>
    <w:rsid w:val="52C3072E"/>
    <w:rsid w:val="59803080"/>
    <w:rsid w:val="611203AC"/>
    <w:rsid w:val="64491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中国移动通信集团安徽有限公司</Company>
  <Pages>3</Pages>
  <Words>297</Words>
  <Characters>1699</Characters>
  <Lines>14</Lines>
  <Paragraphs>3</Paragraphs>
  <TotalTime>3</TotalTime>
  <ScaleCrop>false</ScaleCrop>
  <LinksUpToDate>false</LinksUpToDate>
  <CharactersWithSpaces>1993</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2019-11-01T01:23:00Z</dcterms:created>
  <dc:creator>Administrator.SKY-20190415BFG</dc:creator>
  <cp:lastModifiedBy>青春，</cp:lastModifiedBy>
  <dcterms:modified xsi:type="dcterms:W3CDTF">2020-04-16T06:38:29Z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