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44"/>
          <w:lang w:val="en-US" w:eastAsia="zh-CN"/>
        </w:rPr>
      </w:pPr>
      <w:r>
        <w:rPr>
          <w:rFonts w:hint="eastAsia" w:ascii="微软雅黑" w:hAnsi="微软雅黑" w:eastAsia="微软雅黑" w:cs="微软雅黑"/>
          <w:b/>
          <w:bCs/>
          <w:sz w:val="36"/>
          <w:szCs w:val="44"/>
          <w:lang w:val="en-US" w:eastAsia="zh-CN"/>
        </w:rPr>
        <w:t>安徽省中西医结合医院固话租赁服务项目</w:t>
      </w:r>
    </w:p>
    <w:p/>
    <w:p>
      <w:pPr>
        <w:spacing w:line="360" w:lineRule="auto"/>
        <w:jc w:val="center"/>
        <w:rPr>
          <w:rFonts w:asciiTheme="minorEastAsia" w:hAnsiTheme="minorEastAsia"/>
          <w:b/>
          <w:bCs/>
          <w:sz w:val="24"/>
        </w:rPr>
      </w:pPr>
      <w:r>
        <w:rPr>
          <w:rFonts w:hint="eastAsia" w:asciiTheme="minorEastAsia" w:hAnsiTheme="minorEastAsia"/>
          <w:b/>
          <w:bCs/>
          <w:sz w:val="24"/>
        </w:rPr>
        <w:t>采购需求</w:t>
      </w:r>
    </w:p>
    <w:p>
      <w:pPr>
        <w:widowControl/>
        <w:spacing w:line="360" w:lineRule="auto"/>
        <w:jc w:val="left"/>
        <w:rPr>
          <w:rFonts w:asciiTheme="minorEastAsia" w:hAnsiTheme="minorEastAsia"/>
          <w:b/>
          <w:sz w:val="24"/>
        </w:rPr>
      </w:pPr>
      <w:r>
        <w:rPr>
          <w:rFonts w:hint="eastAsia" w:asciiTheme="minorEastAsia" w:hAnsiTheme="minorEastAsia"/>
          <w:b/>
          <w:sz w:val="24"/>
        </w:rPr>
        <w:t>● 采购需求说明和要求</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11"/>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序号</w:t>
            </w:r>
          </w:p>
        </w:tc>
        <w:tc>
          <w:tcPr>
            <w:tcW w:w="2111"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内容</w:t>
            </w:r>
          </w:p>
        </w:tc>
        <w:tc>
          <w:tcPr>
            <w:tcW w:w="5843"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1</w:t>
            </w:r>
          </w:p>
        </w:tc>
        <w:tc>
          <w:tcPr>
            <w:tcW w:w="2111" w:type="dxa"/>
            <w:vAlign w:val="center"/>
          </w:tcPr>
          <w:p>
            <w:pPr>
              <w:spacing w:line="500" w:lineRule="exact"/>
              <w:jc w:val="center"/>
              <w:rPr>
                <w:rFonts w:asciiTheme="minorEastAsia" w:hAnsiTheme="minorEastAsia"/>
                <w:sz w:val="24"/>
              </w:rPr>
            </w:pPr>
            <w:r>
              <w:rPr>
                <w:rFonts w:hint="eastAsia" w:asciiTheme="minorEastAsia" w:hAnsiTheme="minorEastAsia"/>
                <w:sz w:val="24"/>
                <w:lang w:val="zh-CN"/>
              </w:rPr>
              <w:t>付款方式</w:t>
            </w:r>
          </w:p>
        </w:tc>
        <w:tc>
          <w:tcPr>
            <w:tcW w:w="5843" w:type="dxa"/>
          </w:tcPr>
          <w:p>
            <w:pPr>
              <w:widowControl/>
              <w:spacing w:line="480" w:lineRule="auto"/>
              <w:jc w:val="left"/>
              <w:rPr>
                <w:rFonts w:cs="Times New Roman" w:asciiTheme="minorEastAsia" w:hAnsiTheme="minorEastAsia"/>
                <w:sz w:val="24"/>
                <w:lang w:val="zh-CN"/>
              </w:rPr>
            </w:pPr>
            <w:r>
              <w:rPr>
                <w:rFonts w:hint="eastAsia" w:cs="Times New Roman" w:asciiTheme="minorEastAsia" w:hAnsiTheme="minorEastAsia"/>
                <w:sz w:val="24"/>
                <w:lang w:val="zh-CN"/>
              </w:rPr>
              <w:t>按月据实结算，下一月支付上一月的费用。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2</w:t>
            </w:r>
          </w:p>
        </w:tc>
        <w:tc>
          <w:tcPr>
            <w:tcW w:w="2111" w:type="dxa"/>
            <w:vAlign w:val="center"/>
          </w:tcPr>
          <w:p>
            <w:pPr>
              <w:spacing w:line="500" w:lineRule="exact"/>
              <w:jc w:val="center"/>
              <w:rPr>
                <w:rFonts w:ascii="宋体" w:hAnsi="宋体"/>
                <w:sz w:val="24"/>
              </w:rPr>
            </w:pPr>
            <w:r>
              <w:rPr>
                <w:rFonts w:hint="eastAsia" w:ascii="宋体" w:hAnsi="宋体"/>
                <w:sz w:val="24"/>
              </w:rPr>
              <w:t>服务地点</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 xml:space="preserve"> 安徽省合肥市 ，采购人指定地点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3</w:t>
            </w:r>
          </w:p>
        </w:tc>
        <w:tc>
          <w:tcPr>
            <w:tcW w:w="2111" w:type="dxa"/>
            <w:vAlign w:val="center"/>
          </w:tcPr>
          <w:p>
            <w:pPr>
              <w:spacing w:line="500" w:lineRule="exact"/>
              <w:jc w:val="center"/>
              <w:rPr>
                <w:rFonts w:ascii="宋体" w:hAnsi="宋体"/>
                <w:sz w:val="24"/>
              </w:rPr>
            </w:pPr>
            <w:r>
              <w:rPr>
                <w:rFonts w:hint="eastAsia" w:ascii="宋体" w:hAnsi="宋体"/>
                <w:sz w:val="24"/>
              </w:rPr>
              <w:t>服务期限</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本次服务期限为</w:t>
            </w:r>
            <w:r>
              <w:rPr>
                <w:rFonts w:hint="eastAsia" w:cs="Times New Roman" w:asciiTheme="minorEastAsia" w:hAnsiTheme="minorEastAsia"/>
                <w:sz w:val="24"/>
                <w:lang w:val="en-US" w:eastAsia="zh-CN"/>
              </w:rPr>
              <w:t>三</w:t>
            </w:r>
            <w:r>
              <w:rPr>
                <w:rFonts w:cs="Times New Roman" w:asciiTheme="minorEastAsia" w:hAnsiTheme="minorEastAsia"/>
                <w:sz w:val="24"/>
              </w:rPr>
              <w:t>年，即20</w:t>
            </w:r>
            <w:r>
              <w:rPr>
                <w:rFonts w:hint="eastAsia" w:cs="Times New Roman" w:asciiTheme="minorEastAsia" w:hAnsiTheme="minorEastAsia"/>
                <w:sz w:val="24"/>
              </w:rPr>
              <w:t>20</w:t>
            </w:r>
            <w:r>
              <w:rPr>
                <w:rFonts w:cs="Times New Roman" w:asciiTheme="minorEastAsia" w:hAnsiTheme="minorEastAsia"/>
                <w:sz w:val="24"/>
              </w:rPr>
              <w:t>年</w:t>
            </w:r>
            <w:r>
              <w:rPr>
                <w:rFonts w:hint="eastAsia" w:cs="Times New Roman" w:asciiTheme="minorEastAsia" w:hAnsiTheme="minorEastAsia"/>
                <w:sz w:val="24"/>
              </w:rPr>
              <w:t>1</w:t>
            </w:r>
            <w:r>
              <w:rPr>
                <w:rFonts w:cs="Times New Roman" w:asciiTheme="minorEastAsia" w:hAnsiTheme="minorEastAsia"/>
                <w:sz w:val="24"/>
              </w:rPr>
              <w:t>月1日至202</w:t>
            </w:r>
            <w:r>
              <w:rPr>
                <w:rFonts w:hint="eastAsia" w:cs="Times New Roman" w:asciiTheme="minorEastAsia" w:hAnsiTheme="minorEastAsia"/>
                <w:sz w:val="24"/>
                <w:lang w:val="en-US" w:eastAsia="zh-CN"/>
              </w:rPr>
              <w:t>3</w:t>
            </w:r>
            <w:r>
              <w:rPr>
                <w:rFonts w:cs="Times New Roman" w:asciiTheme="minorEastAsia" w:hAnsiTheme="minorEastAsia"/>
                <w:sz w:val="24"/>
              </w:rPr>
              <w:t>年</w:t>
            </w:r>
            <w:r>
              <w:rPr>
                <w:rFonts w:hint="eastAsia" w:cs="Times New Roman" w:asciiTheme="minorEastAsia" w:hAnsiTheme="minorEastAsia"/>
                <w:sz w:val="24"/>
                <w:lang w:val="en-US" w:eastAsia="zh-CN"/>
              </w:rPr>
              <w:t>1</w:t>
            </w:r>
            <w:r>
              <w:rPr>
                <w:rFonts w:cs="Times New Roman" w:asciiTheme="minorEastAsia" w:hAnsiTheme="minorEastAsia"/>
                <w:sz w:val="24"/>
              </w:rPr>
              <w:t>月</w:t>
            </w:r>
            <w:r>
              <w:rPr>
                <w:rFonts w:hint="eastAsia" w:cs="Times New Roman" w:asciiTheme="minorEastAsia" w:hAnsiTheme="minorEastAsia"/>
                <w:sz w:val="24"/>
                <w:lang w:val="en-US" w:eastAsia="zh-CN"/>
              </w:rPr>
              <w:t>1</w:t>
            </w:r>
            <w:r>
              <w:rPr>
                <w:rFonts w:hint="eastAsia" w:cs="Times New Roman" w:asciiTheme="minorEastAsia" w:hAnsiTheme="minorEastAsia"/>
                <w:sz w:val="24"/>
              </w:rPr>
              <w:t>日。</w:t>
            </w:r>
          </w:p>
        </w:tc>
      </w:tr>
    </w:tbl>
    <w:p>
      <w:pPr>
        <w:spacing w:line="360" w:lineRule="auto"/>
        <w:rPr>
          <w:sz w:val="24"/>
          <w:szCs w:val="28"/>
        </w:rPr>
      </w:pPr>
      <w:r>
        <w:rPr>
          <w:sz w:val="24"/>
          <w:szCs w:val="28"/>
        </w:rPr>
        <w:t>前注：</w:t>
      </w:r>
    </w:p>
    <w:p>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1、本说明中提出的技术方案仅为参考，如无明确限制，供应商可以进行优化，提供满足用户实际需要的更优（或者性能实质上不低于的）服务方案，</w:t>
      </w:r>
      <w:r>
        <w:rPr>
          <w:rFonts w:ascii="Times New Roman" w:hAnsi="Times New Roman" w:eastAsia="宋体" w:cs="Times New Roman"/>
          <w:sz w:val="24"/>
        </w:rPr>
        <w:t>且此方案须经</w:t>
      </w:r>
      <w:r>
        <w:rPr>
          <w:rFonts w:hint="eastAsia" w:ascii="Times New Roman" w:hAnsi="Times New Roman" w:eastAsia="宋体" w:cs="Times New Roman"/>
          <w:sz w:val="24"/>
        </w:rPr>
        <w:t>评标</w:t>
      </w:r>
      <w:r>
        <w:rPr>
          <w:rFonts w:ascii="Times New Roman" w:hAnsi="Times New Roman" w:eastAsia="宋体" w:cs="Times New Roman"/>
          <w:sz w:val="24"/>
        </w:rPr>
        <w:t>小组评审认可；</w:t>
      </w:r>
      <w:r>
        <w:rPr>
          <w:rFonts w:ascii="Times New Roman" w:hAnsi="Times New Roman" w:eastAsia="宋体" w:cs="Times New Roman"/>
          <w:sz w:val="24"/>
        </w:rPr>
        <w:cr/>
      </w:r>
      <w:r>
        <w:rPr>
          <w:rFonts w:ascii="Times New Roman" w:hAnsi="Times New Roman" w:eastAsia="宋体" w:cs="Times New Roman"/>
          <w:sz w:val="24"/>
          <w:szCs w:val="28"/>
        </w:rPr>
        <w:t>2、供应商应当在响应文件中列出完成</w:t>
      </w:r>
      <w:bookmarkStart w:id="0" w:name="_GoBack"/>
      <w:bookmarkEnd w:id="0"/>
      <w:r>
        <w:rPr>
          <w:rFonts w:ascii="Times New Roman" w:hAnsi="Times New Roman" w:eastAsia="宋体" w:cs="Times New Roman"/>
          <w:sz w:val="24"/>
          <w:szCs w:val="28"/>
        </w:rPr>
        <w:t>本项目并通过验收所需的所有各项服务等全部费用。成交供应商必须确保整体通过用户方及有关主管部门验收,所发生的验收费用由成交供应商承担；供应商应自行勘察项目现场，如供应商因未及时勘察现场而导致的报价缺项漏项废标、或成交后无法完工，供应商自行承担一切后果；</w:t>
      </w:r>
    </w:p>
    <w:p>
      <w:pPr>
        <w:spacing w:line="360" w:lineRule="auto"/>
        <w:rPr>
          <w:rFonts w:ascii="Times New Roman" w:hAnsi="Times New Roman" w:eastAsia="宋体" w:cs="Times New Roman"/>
          <w:kern w:val="0"/>
          <w:sz w:val="24"/>
        </w:rPr>
      </w:pPr>
      <w:r>
        <w:rPr>
          <w:rFonts w:ascii="Times New Roman" w:hAnsi="Times New Roman" w:eastAsia="宋体" w:cs="Times New Roman"/>
          <w:sz w:val="24"/>
          <w:szCs w:val="28"/>
        </w:rPr>
        <w:t>3、如对本</w:t>
      </w:r>
      <w:r>
        <w:rPr>
          <w:rFonts w:hint="eastAsia" w:ascii="Times New Roman" w:hAnsi="Times New Roman" w:eastAsia="宋体" w:cs="Times New Roman"/>
          <w:sz w:val="24"/>
          <w:szCs w:val="28"/>
        </w:rPr>
        <w:t>招</w:t>
      </w:r>
      <w:r>
        <w:rPr>
          <w:rFonts w:hint="eastAsia" w:ascii="Times New Roman" w:hAnsi="Times New Roman" w:eastAsia="宋体" w:cs="Times New Roman"/>
          <w:sz w:val="24"/>
        </w:rPr>
        <w:t>标</w:t>
      </w:r>
      <w:r>
        <w:rPr>
          <w:rFonts w:ascii="Times New Roman" w:hAnsi="Times New Roman" w:eastAsia="宋体" w:cs="Times New Roman"/>
          <w:sz w:val="24"/>
          <w:szCs w:val="28"/>
        </w:rPr>
        <w:t>文件有任何疑问或澄清要求，请按本</w:t>
      </w:r>
      <w:r>
        <w:rPr>
          <w:rFonts w:hint="eastAsia" w:ascii="Times New Roman" w:hAnsi="Times New Roman" w:eastAsia="宋体" w:cs="Times New Roman"/>
          <w:sz w:val="24"/>
        </w:rPr>
        <w:t>招标</w:t>
      </w:r>
      <w:r>
        <w:rPr>
          <w:rFonts w:ascii="Times New Roman" w:hAnsi="Times New Roman" w:eastAsia="宋体" w:cs="Times New Roman"/>
          <w:sz w:val="24"/>
          <w:szCs w:val="28"/>
        </w:rPr>
        <w:t>文件“供应商须知前附表”中约定方式联系合肥市政府采购中心，或在接受答疑截止时间前联系采购人，否则视同理解和接受，</w:t>
      </w:r>
      <w:r>
        <w:rPr>
          <w:rFonts w:ascii="Times New Roman" w:hAnsi="Times New Roman" w:eastAsia="宋体" w:cs="Times New Roman"/>
          <w:kern w:val="0"/>
          <w:sz w:val="24"/>
        </w:rPr>
        <w:t>供应商对</w:t>
      </w:r>
      <w:r>
        <w:rPr>
          <w:rFonts w:hint="eastAsia" w:ascii="Times New Roman" w:hAnsi="Times New Roman" w:eastAsia="宋体" w:cs="Times New Roman"/>
          <w:kern w:val="0"/>
          <w:sz w:val="24"/>
        </w:rPr>
        <w:t>招标</w:t>
      </w:r>
      <w:r>
        <w:rPr>
          <w:rFonts w:ascii="Times New Roman" w:hAnsi="Times New Roman" w:eastAsia="宋体" w:cs="Times New Roman"/>
          <w:kern w:val="0"/>
          <w:sz w:val="24"/>
        </w:rPr>
        <w:t>文件、采购过程、成交结果的质疑，应当在法定质疑期内一次性提出针对同一采购程序环节的质疑。</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一、项目概况</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为保障采购人日常办公需要、</w:t>
      </w:r>
      <w:r>
        <w:rPr>
          <w:rFonts w:hint="eastAsia" w:ascii="Times New Roman" w:hAnsi="Times New Roman" w:eastAsia="宋体" w:cs="Times New Roman"/>
          <w:sz w:val="24"/>
        </w:rPr>
        <w:t>业务系统数据传输</w:t>
      </w:r>
      <w:r>
        <w:rPr>
          <w:rFonts w:ascii="Times New Roman" w:hAnsi="Times New Roman" w:eastAsia="宋体" w:cs="Times New Roman"/>
          <w:sz w:val="24"/>
        </w:rPr>
        <w:t>以及业务数据共享需要，采购人需对拟投入使用的</w:t>
      </w:r>
      <w:r>
        <w:rPr>
          <w:rFonts w:hint="eastAsia" w:ascii="Times New Roman" w:hAnsi="Times New Roman" w:eastAsia="宋体" w:cs="Times New Roman"/>
          <w:sz w:val="24"/>
        </w:rPr>
        <w:t>固话进行</w:t>
      </w:r>
      <w:r>
        <w:rPr>
          <w:rFonts w:ascii="Times New Roman" w:hAnsi="Times New Roman" w:eastAsia="宋体" w:cs="Times New Roman"/>
          <w:sz w:val="24"/>
        </w:rPr>
        <w:t>服务</w:t>
      </w:r>
      <w:r>
        <w:rPr>
          <w:rFonts w:hint="eastAsia" w:ascii="Times New Roman" w:hAnsi="Times New Roman" w:eastAsia="宋体" w:cs="Times New Roman"/>
          <w:sz w:val="24"/>
        </w:rPr>
        <w:t>租赁</w:t>
      </w:r>
      <w:r>
        <w:rPr>
          <w:rFonts w:ascii="Times New Roman" w:hAnsi="Times New Roman" w:eastAsia="宋体" w:cs="Times New Roman"/>
          <w:sz w:val="24"/>
        </w:rPr>
        <w:t>采购。</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二、服务范围</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一</w:t>
      </w:r>
      <w:r>
        <w:rPr>
          <w:rFonts w:ascii="Times New Roman" w:hAnsi="Times New Roman" w:eastAsia="宋体" w:cs="Times New Roman"/>
          <w:sz w:val="24"/>
        </w:rPr>
        <w:t>）拟投入使用</w:t>
      </w:r>
      <w:r>
        <w:rPr>
          <w:rFonts w:hint="eastAsia" w:ascii="Times New Roman" w:hAnsi="Times New Roman" w:eastAsia="宋体" w:cs="Times New Roman"/>
          <w:sz w:val="24"/>
        </w:rPr>
        <w:t>固话业务</w:t>
      </w:r>
      <w:r>
        <w:rPr>
          <w:rFonts w:ascii="Times New Roman" w:hAnsi="Times New Roman" w:eastAsia="宋体" w:cs="Times New Roman"/>
          <w:sz w:val="24"/>
        </w:rPr>
        <w:t>范围：</w:t>
      </w:r>
    </w:p>
    <w:p>
      <w:pPr>
        <w:spacing w:line="360" w:lineRule="auto"/>
        <w:rPr>
          <w:rFonts w:ascii="Times New Roman" w:hAnsi="Times New Roman" w:eastAsia="宋体" w:cs="Times New Roman"/>
          <w:bCs/>
          <w:sz w:val="24"/>
        </w:rPr>
      </w:pPr>
      <w:r>
        <w:rPr>
          <w:rFonts w:hint="eastAsia" w:ascii="Times New Roman" w:hAnsi="Times New Roman" w:eastAsia="宋体" w:cs="Times New Roman"/>
          <w:bCs/>
          <w:sz w:val="24"/>
        </w:rPr>
        <w:t xml:space="preserve">   1、固话400门。安徽中医药大学第三附属医院（安徽省中西医结合医院）内部办公使用。</w:t>
      </w:r>
    </w:p>
    <w:tbl>
      <w:tblPr>
        <w:tblStyle w:val="4"/>
        <w:tblW w:w="7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69"/>
        <w:gridCol w:w="2458"/>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序号</w:t>
            </w:r>
          </w:p>
        </w:tc>
        <w:tc>
          <w:tcPr>
            <w:tcW w:w="216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类型</w:t>
            </w:r>
          </w:p>
        </w:tc>
        <w:tc>
          <w:tcPr>
            <w:tcW w:w="2458"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规格</w:t>
            </w:r>
          </w:p>
        </w:tc>
        <w:tc>
          <w:tcPr>
            <w:tcW w:w="1962"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数量（</w:t>
            </w:r>
            <w:r>
              <w:rPr>
                <w:rFonts w:hint="eastAsia" w:ascii="Times New Roman" w:hAnsi="Times New Roman" w:eastAsia="宋体" w:cs="Times New Roman"/>
                <w:sz w:val="24"/>
              </w:rPr>
              <w:t>台</w:t>
            </w:r>
            <w:r>
              <w:rPr>
                <w:rFonts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216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固话业务</w:t>
            </w:r>
          </w:p>
        </w:tc>
        <w:tc>
          <w:tcPr>
            <w:tcW w:w="2458"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参考参数说明部分</w:t>
            </w:r>
          </w:p>
        </w:tc>
        <w:tc>
          <w:tcPr>
            <w:tcW w:w="1962"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400</w:t>
            </w:r>
          </w:p>
        </w:tc>
      </w:tr>
    </w:tbl>
    <w:p>
      <w:pPr>
        <w:spacing w:line="360" w:lineRule="auto"/>
        <w:rPr>
          <w:rFonts w:ascii="Times New Roman" w:hAnsi="Times New Roman" w:eastAsia="宋体" w:cs="Times New Roman"/>
          <w:bCs/>
          <w:sz w:val="24"/>
        </w:rPr>
      </w:pPr>
    </w:p>
    <w:p>
      <w:pPr>
        <w:spacing w:line="360" w:lineRule="auto"/>
        <w:rPr>
          <w:rFonts w:ascii="Times New Roman" w:hAnsi="Times New Roman" w:eastAsia="宋体" w:cs="Times New Roman"/>
          <w:b/>
          <w:sz w:val="24"/>
        </w:rPr>
      </w:pPr>
      <w:r>
        <w:rPr>
          <w:rFonts w:ascii="Times New Roman" w:hAnsi="Times New Roman" w:eastAsia="宋体" w:cs="Times New Roman"/>
          <w:b/>
          <w:sz w:val="24"/>
        </w:rPr>
        <w:t>三、链路</w:t>
      </w:r>
      <w:r>
        <w:rPr>
          <w:rFonts w:hint="eastAsia" w:ascii="Times New Roman" w:hAnsi="Times New Roman" w:eastAsia="宋体" w:cs="Times New Roman"/>
          <w:b/>
          <w:sz w:val="24"/>
        </w:rPr>
        <w:t>及融合通信</w:t>
      </w:r>
      <w:r>
        <w:rPr>
          <w:rFonts w:ascii="Times New Roman" w:hAnsi="Times New Roman" w:eastAsia="宋体" w:cs="Times New Roman"/>
          <w:b/>
          <w:sz w:val="24"/>
        </w:rPr>
        <w:t>参数要求</w:t>
      </w:r>
    </w:p>
    <w:tbl>
      <w:tblPr>
        <w:tblStyle w:val="4"/>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50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3" w:type="dxa"/>
            <w:vAlign w:val="center"/>
          </w:tcPr>
          <w:p>
            <w:pPr>
              <w:adjustRightInd w:val="0"/>
              <w:snapToGrid w:val="0"/>
              <w:jc w:val="center"/>
              <w:rPr>
                <w:rFonts w:ascii="Times New Roman" w:hAnsi="Times New Roman" w:eastAsia="宋体" w:cs="Times New Roman"/>
                <w:sz w:val="24"/>
              </w:rPr>
            </w:pPr>
            <w:r>
              <w:rPr>
                <w:rFonts w:hint="eastAsia" w:ascii="Times New Roman" w:hAnsi="Times New Roman" w:eastAsia="宋体" w:cs="Times New Roman"/>
                <w:sz w:val="24"/>
              </w:rPr>
              <w:t>业务</w:t>
            </w:r>
            <w:r>
              <w:rPr>
                <w:rFonts w:ascii="Times New Roman" w:hAnsi="Times New Roman" w:eastAsia="宋体" w:cs="Times New Roman"/>
                <w:sz w:val="24"/>
              </w:rPr>
              <w:t>类型</w:t>
            </w:r>
          </w:p>
        </w:tc>
        <w:tc>
          <w:tcPr>
            <w:tcW w:w="5061"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参  数</w:t>
            </w:r>
          </w:p>
        </w:tc>
        <w:tc>
          <w:tcPr>
            <w:tcW w:w="2135" w:type="dxa"/>
            <w:vAlign w:val="center"/>
          </w:tcPr>
          <w:p>
            <w:pPr>
              <w:adjustRightInd w:val="0"/>
              <w:snapToGrid w:val="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663" w:type="dxa"/>
            <w:vAlign w:val="center"/>
          </w:tcPr>
          <w:p>
            <w:pPr>
              <w:adjustRightInd w:val="0"/>
              <w:snapToGrid w:val="0"/>
              <w:jc w:val="center"/>
              <w:rPr>
                <w:rFonts w:ascii="Times New Roman" w:hAnsi="Times New Roman" w:eastAsia="宋体" w:cs="Times New Roman"/>
                <w:sz w:val="24"/>
              </w:rPr>
            </w:pPr>
            <w:r>
              <w:rPr>
                <w:rFonts w:hint="eastAsia" w:ascii="Times New Roman" w:hAnsi="Times New Roman" w:eastAsia="宋体" w:cs="Times New Roman"/>
                <w:sz w:val="24"/>
              </w:rPr>
              <w:t>固话业务</w:t>
            </w:r>
          </w:p>
        </w:tc>
        <w:tc>
          <w:tcPr>
            <w:tcW w:w="5061" w:type="dxa"/>
            <w:vAlign w:val="center"/>
          </w:tcPr>
          <w:p>
            <w:pPr>
              <w:spacing w:line="360" w:lineRule="exact"/>
              <w:jc w:val="left"/>
              <w:rPr>
                <w:rFonts w:ascii="Times New Roman" w:hAnsi="Times New Roman" w:eastAsia="宋体" w:cs="Times New Roman"/>
                <w:sz w:val="24"/>
              </w:rPr>
            </w:pPr>
            <w:r>
              <w:rPr>
                <w:rFonts w:hint="eastAsia" w:ascii="Times New Roman" w:hAnsi="Times New Roman" w:eastAsia="宋体" w:cs="Times New Roman"/>
                <w:sz w:val="24"/>
              </w:rPr>
              <w:t>1、本次提供不少于400户固话号码，所有号码共享国内主叫通话时长不少于4万分钟/月，所有固话号码互拨免费；</w:t>
            </w:r>
          </w:p>
          <w:p>
            <w:pPr>
              <w:spacing w:line="360" w:lineRule="exact"/>
              <w:jc w:val="left"/>
              <w:rPr>
                <w:rFonts w:ascii="Times New Roman" w:hAnsi="Times New Roman" w:eastAsia="宋体" w:cs="Times New Roman"/>
                <w:sz w:val="24"/>
              </w:rPr>
            </w:pPr>
            <w:r>
              <w:rPr>
                <w:rFonts w:hint="eastAsia" w:ascii="Times New Roman" w:hAnsi="Times New Roman" w:eastAsia="宋体" w:cs="Times New Roman"/>
                <w:sz w:val="24"/>
              </w:rPr>
              <w:t>2、国内被叫免费；</w:t>
            </w:r>
          </w:p>
          <w:p>
            <w:pPr>
              <w:spacing w:line="360" w:lineRule="exact"/>
              <w:jc w:val="left"/>
              <w:rPr>
                <w:rFonts w:ascii="Times New Roman" w:hAnsi="Times New Roman" w:eastAsia="宋体" w:cs="Times New Roman"/>
                <w:sz w:val="24"/>
              </w:rPr>
            </w:pPr>
            <w:r>
              <w:rPr>
                <w:rFonts w:hint="eastAsia" w:ascii="Times New Roman" w:hAnsi="Times New Roman" w:eastAsia="宋体" w:cs="Times New Roman"/>
                <w:sz w:val="24"/>
              </w:rPr>
              <w:t>3、提供的固话主机不少于400部。</w:t>
            </w:r>
          </w:p>
        </w:tc>
        <w:tc>
          <w:tcPr>
            <w:tcW w:w="2135" w:type="dxa"/>
            <w:vAlign w:val="center"/>
          </w:tcPr>
          <w:p>
            <w:pPr>
              <w:spacing w:line="360" w:lineRule="exact"/>
              <w:jc w:val="left"/>
              <w:rPr>
                <w:rFonts w:hint="eastAsia" w:ascii="Times New Roman" w:hAnsi="Times New Roman" w:eastAsia="宋体" w:cs="Times New Roman"/>
                <w:sz w:val="24"/>
              </w:rPr>
            </w:pPr>
          </w:p>
        </w:tc>
      </w:tr>
    </w:tbl>
    <w:p>
      <w:pPr>
        <w:adjustRightInd w:val="0"/>
        <w:snapToGrid w:val="0"/>
        <w:spacing w:line="360" w:lineRule="auto"/>
        <w:ind w:firstLine="482" w:firstLineChars="200"/>
        <w:rPr>
          <w:rFonts w:ascii="Times New Roman" w:hAnsi="Times New Roman" w:eastAsia="宋体" w:cs="Times New Roman"/>
          <w:b/>
          <w:sz w:val="24"/>
        </w:rPr>
      </w:pPr>
    </w:p>
    <w:p>
      <w:pPr>
        <w:adjustRightInd w:val="0"/>
        <w:snapToGrid w:val="0"/>
        <w:spacing w:line="360" w:lineRule="auto"/>
        <w:ind w:firstLine="482" w:firstLineChars="200"/>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公司盖章：</w:t>
      </w:r>
    </w:p>
    <w:p>
      <w:pPr>
        <w:adjustRightInd w:val="0"/>
        <w:snapToGrid w:val="0"/>
        <w:spacing w:line="360" w:lineRule="auto"/>
        <w:ind w:firstLine="482" w:firstLineChars="200"/>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日期：</w:t>
      </w:r>
    </w:p>
    <w:p>
      <w:pPr>
        <w:adjustRightInd w:val="0"/>
        <w:snapToGrid w:val="0"/>
        <w:spacing w:line="360" w:lineRule="auto"/>
        <w:ind w:firstLine="482" w:firstLineChars="200"/>
        <w:rPr>
          <w:rFonts w:ascii="Times New Roman" w:hAnsi="Times New Roman" w:eastAsia="宋体" w:cs="Times New Roman"/>
          <w:b/>
          <w:sz w:val="24"/>
        </w:rPr>
      </w:pPr>
    </w:p>
    <w:p>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四、技术要求</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成交供应商须保证采购人现有网络架构体系完整、网络使用稳定，不得影响日常办公、业务应用、数据共享及信息安全等方面的工作</w:t>
      </w:r>
      <w:r>
        <w:rPr>
          <w:rFonts w:hint="eastAsia" w:ascii="Times New Roman" w:hAnsi="Times New Roman" w:cs="Times New Roman"/>
          <w:sz w:val="24"/>
        </w:rPr>
        <w:t>。</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成交供应商</w:t>
      </w:r>
      <w:r>
        <w:rPr>
          <w:rFonts w:hint="eastAsia" w:ascii="Times New Roman" w:hAnsi="Times New Roman" w:cs="Times New Roman"/>
          <w:sz w:val="24"/>
        </w:rPr>
        <w:t>对拟建固话网络</w:t>
      </w:r>
      <w:r>
        <w:rPr>
          <w:rFonts w:ascii="Times New Roman" w:hAnsi="Times New Roman" w:cs="Times New Roman"/>
          <w:sz w:val="24"/>
        </w:rPr>
        <w:t>安装地点、关联设备及系统自行勘察，</w:t>
      </w:r>
      <w:r>
        <w:rPr>
          <w:rFonts w:hint="eastAsia" w:ascii="Times New Roman" w:hAnsi="Times New Roman" w:cs="Times New Roman"/>
          <w:sz w:val="24"/>
        </w:rPr>
        <w:t>并制定详细、合理的施工计划；</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成交供应商须提供7×24小时运维服务。接到采购人的报修电话，成交供应商技术人员须在15分钟内响应，并在1小时内赶到使用现场实施维修，链路故障每月平均恢复时间不超过2小时。</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未经采购人书面许可，成交供应商不得向第三方提供或披露与采购人业务有关的资料和信息。</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五、报价单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序号</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名称</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价格（元/月）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1</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r>
              <w:rPr>
                <w:rFonts w:hint="eastAsia" w:ascii="宋体" w:hAnsi="宋体" w:eastAsia="宋体" w:cs="宋体"/>
                <w:b/>
                <w:bCs/>
                <w:sz w:val="28"/>
                <w:szCs w:val="28"/>
                <w:lang w:val="en-US" w:eastAsia="zh-CN"/>
              </w:rPr>
              <w:t>固话租赁服务</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p>
        </w:tc>
      </w:tr>
    </w:tbl>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w:t>
      </w: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公司盖章：</w:t>
      </w:r>
    </w:p>
    <w:p>
      <w:pPr>
        <w:adjustRightInd w:val="0"/>
        <w:snapToGrid w:val="0"/>
        <w:spacing w:line="360" w:lineRule="auto"/>
        <w:ind w:firstLine="482" w:firstLineChars="200"/>
        <w:jc w:val="left"/>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日期：</w:t>
      </w:r>
    </w:p>
    <w:p>
      <w:pPr>
        <w:adjustRightInd w:val="0"/>
        <w:snapToGrid w:val="0"/>
        <w:spacing w:line="360" w:lineRule="auto"/>
        <w:ind w:firstLine="480" w:firstLineChars="200"/>
        <w:jc w:val="left"/>
        <w:rPr>
          <w:rFonts w:ascii="Times New Roman" w:hAnsi="Times New Roman" w:cs="Times New Roman"/>
          <w:sz w:val="24"/>
        </w:rPr>
      </w:pPr>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61FA"/>
    <w:rsid w:val="002678F9"/>
    <w:rsid w:val="003B6AB4"/>
    <w:rsid w:val="003C16A8"/>
    <w:rsid w:val="005561FA"/>
    <w:rsid w:val="005C08DE"/>
    <w:rsid w:val="00876A3D"/>
    <w:rsid w:val="008B6C82"/>
    <w:rsid w:val="009C419A"/>
    <w:rsid w:val="00C73DD6"/>
    <w:rsid w:val="05C73F4B"/>
    <w:rsid w:val="11D72FEF"/>
    <w:rsid w:val="2A0B05B2"/>
    <w:rsid w:val="2AFD1598"/>
    <w:rsid w:val="2B592C1D"/>
    <w:rsid w:val="39173DB8"/>
    <w:rsid w:val="50636058"/>
    <w:rsid w:val="52C3072E"/>
    <w:rsid w:val="5ACF3F85"/>
    <w:rsid w:val="5FF836C7"/>
    <w:rsid w:val="611203AC"/>
    <w:rsid w:val="66CE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中国移动通信集团安徽有限公司</Company>
  <Pages>3</Pages>
  <Words>262</Words>
  <Characters>1494</Characters>
  <Lines>12</Lines>
  <Paragraphs>3</Paragraphs>
  <TotalTime>3</TotalTime>
  <ScaleCrop>false</ScaleCrop>
  <LinksUpToDate>false</LinksUpToDate>
  <CharactersWithSpaces>1753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2019-11-01T01:23:00Z</dcterms:created>
  <dc:creator>Administrator.SKY-20190415BFG</dc:creator>
  <cp:lastModifiedBy>青春，</cp:lastModifiedBy>
  <dcterms:modified xsi:type="dcterms:W3CDTF">2020-04-16T06:38:31Z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