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安徽省中西医结合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医院“除四害”技术服务项目报价表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99"/>
        <w:gridCol w:w="1635"/>
        <w:gridCol w:w="2478"/>
        <w:gridCol w:w="1947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单价（元/㎡）</w:t>
            </w: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数量（㎡）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7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30000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4425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人民币：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1、严格按照报价文件格式规范填写。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2、以人民币为结算单位，进行支付结算。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3、病房约有200间，本数据仅供参考，潜在投标人应自行勘查现场。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5214A"/>
    <w:rsid w:val="08684D83"/>
    <w:rsid w:val="536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2019-07-11T08:05:00Z</dcterms:created>
  <dc:creator>后勤 盛飞</dc:creator>
  <cp:lastModifiedBy>后勤 盛飞</cp:lastModifiedBy>
  <dcterms:modified xsi:type="dcterms:W3CDTF">2019-07-11T08:16:23Z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