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微软雅黑" w:hAnsi="微软雅黑" w:eastAsia="微软雅黑" w:cs="微软雅黑"/>
          <w:sz w:val="36"/>
          <w:szCs w:val="36"/>
          <w:lang w:val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zh-CN"/>
        </w:rPr>
        <w:t>评标办法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评标内容及评标分值比例分配(100分)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（1）商务标综合评定</w:t>
      </w:r>
      <w:r>
        <w:rPr>
          <w:rFonts w:hint="eastAsia" w:ascii="宋体" w:hAnsi="宋体" w:eastAsia="宋体" w:cs="宋体"/>
          <w:b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60分）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有效投标报价在4家以上去掉最高价和最低价后，各有效投标人的投标报价的算术平均价作为评标基准价，有效投标人的投标报价在4家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eastAsia="宋体" w:cs="宋体"/>
          <w:sz w:val="24"/>
        </w:rPr>
        <w:t>以下的各投标有效报价的算术平均价为评标基准价。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各有效投标报价与评标基准价相比，相等的得满分60分，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投标得分</w:t>
      </w:r>
      <w:r>
        <w:rPr>
          <w:rFonts w:hint="eastAsia" w:ascii="宋体" w:hAnsi="宋体" w:cs="宋体"/>
          <w:sz w:val="24"/>
          <w:lang w:val="en-US" w:eastAsia="zh-CN"/>
        </w:rPr>
        <w:t>=（评标基准价/投标报价）*60%*100%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计算分数时四舍五入保留小数点后两位；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72" w:firstLineChars="196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技术标综合评定 （40分）</w:t>
      </w:r>
    </w:p>
    <w:tbl>
      <w:tblPr>
        <w:tblStyle w:val="3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30"/>
        <w:gridCol w:w="1920"/>
        <w:gridCol w:w="6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30" w:type="dxa"/>
            <w:vAlign w:val="center"/>
          </w:tcPr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评分指标</w:t>
            </w:r>
          </w:p>
        </w:tc>
        <w:tc>
          <w:tcPr>
            <w:tcW w:w="6390" w:type="dxa"/>
            <w:vAlign w:val="center"/>
          </w:tcPr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30" w:type="dxa"/>
            <w:vAlign w:val="center"/>
          </w:tcPr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服务业绩</w:t>
            </w:r>
          </w:p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6390" w:type="dxa"/>
            <w:vAlign w:val="center"/>
          </w:tcPr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服务医疗单位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2017年1月1日以来已履行完毕且维保同等规模的单个合同金额在2万元及以上的，每提供一份得2分，最高得10分，没有不得分。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30" w:type="dxa"/>
            <w:vAlign w:val="center"/>
          </w:tcPr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服务能力</w:t>
            </w:r>
          </w:p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25分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6390" w:type="dxa"/>
            <w:vAlign w:val="center"/>
          </w:tcPr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1、拥有专业技术人员（电力安装、维修、发电机运维等）5人以上的得6分，每提供一个得2分；</w:t>
            </w:r>
          </w:p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2、获得招标人书面表扬的（以加盖单位公章为准，主管部门盖章无效），每提供一个得2分，最高的6分；</w:t>
            </w:r>
          </w:p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3、同一单位续签服务合同（以1年为一个周期）2次以上得2分，3次以上得6分；</w:t>
            </w:r>
          </w:p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4、投标人内部岗位制度齐全，包括员工培训、工作考评、岗位制度、岗位安全生产责任制、客户意见反馈、应急预案、售后服务等内容，提供5个以上得满分7分，没有的不得分，少于5个的得1-6分；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30" w:type="dxa"/>
            <w:vAlign w:val="center"/>
          </w:tcPr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应急能力（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6390" w:type="dxa"/>
            <w:vAlign w:val="center"/>
          </w:tcPr>
          <w:p>
            <w:pPr>
              <w:pageBreakBefore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依据投标人营业地址或办公地点（以营业执照或房屋租赁、买卖合同为准）在20分钟以内到达现场的得满分，30分钟内到达下场的得3分，1小时内到达现场的得1分，超过1小时的不得分。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C6E4"/>
    <w:multiLevelType w:val="singleLevel"/>
    <w:tmpl w:val="0D88C6E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C4560"/>
    <w:rsid w:val="3C1C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2019-06-02T22:51:00Z</dcterms:created>
  <dc:creator>后勤 盛飞</dc:creator>
  <cp:lastModifiedBy>后勤 盛飞</cp:lastModifiedBy>
  <dcterms:modified xsi:type="dcterms:W3CDTF">2019-06-02T23:42:56Z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