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报价表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9"/>
        <w:gridCol w:w="2175"/>
        <w:gridCol w:w="2205"/>
        <w:gridCol w:w="223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指标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单价（元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*点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(点*次/年)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7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eastAsia="zh-CN"/>
              </w:rPr>
              <w:t>一、微生物指标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总大肠菌数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耐热大肠菌数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大肠埃希氏菌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菌落总数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7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eastAsia="zh-CN"/>
              </w:rPr>
              <w:t>二、毒理指标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铬（六价）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汞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氰化物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氟化物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硝酸盐（以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N计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三氯甲烷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四氯化碳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7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eastAsia="zh-CN"/>
              </w:rPr>
              <w:t>三、感官性状和一般化学指标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色度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浑浊度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肉眼可见物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PH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铝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铁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铜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锌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氯化物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硫酸盐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溶解性总固体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耗氧量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挥发酚类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阴离子合成洗涤剂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7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eastAsia="zh-CN"/>
              </w:rPr>
              <w:t>四、消毒剂常规指标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氯气及游离氯制剂（游离氯）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5*2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4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费用合计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备注：“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5*2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”表示一年检测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次，每次取样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5个点位，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每半年检测一次。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093"/>
    <w:rsid w:val="5B3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2019-05-24T03:12:00Z</dcterms:created>
  <dc:creator>后勤 盛飞</dc:creator>
  <cp:lastModifiedBy>后勤 盛飞</cp:lastModifiedBy>
  <dcterms:modified xsi:type="dcterms:W3CDTF">2019-05-24T03:44:40Z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