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720" w:firstLineChars="200"/>
        <w:textAlignment w:val="auto"/>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评标方法：综合评分法。</w:t>
      </w:r>
    </w:p>
    <w:tbl>
      <w:tblPr>
        <w:tblStyle w:val="6"/>
        <w:tblW w:w="92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1101"/>
        <w:gridCol w:w="695"/>
        <w:gridCol w:w="1522"/>
        <w:gridCol w:w="4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noWrap w:val="0"/>
            <w:vAlign w:val="top"/>
          </w:tcPr>
          <w:p>
            <w:pPr>
              <w:spacing w:line="360" w:lineRule="auto"/>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评分项目</w:t>
            </w:r>
          </w:p>
        </w:tc>
        <w:tc>
          <w:tcPr>
            <w:tcW w:w="1796" w:type="dxa"/>
            <w:gridSpan w:val="2"/>
            <w:noWrap w:val="0"/>
            <w:vAlign w:val="top"/>
          </w:tcPr>
          <w:p>
            <w:pPr>
              <w:spacing w:line="360" w:lineRule="auto"/>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分项</w:t>
            </w:r>
          </w:p>
        </w:tc>
        <w:tc>
          <w:tcPr>
            <w:tcW w:w="5943" w:type="dxa"/>
            <w:gridSpan w:val="2"/>
            <w:noWrap w:val="0"/>
            <w:vAlign w:val="top"/>
          </w:tcPr>
          <w:p>
            <w:pPr>
              <w:spacing w:line="360" w:lineRule="auto"/>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评标要点及说明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noWrap w:val="0"/>
            <w:vAlign w:val="center"/>
          </w:tcPr>
          <w:p>
            <w:pPr>
              <w:spacing w:line="240" w:lineRule="auto"/>
              <w:jc w:val="center"/>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投标报价</w:t>
            </w:r>
          </w:p>
          <w:p>
            <w:pPr>
              <w:spacing w:line="240" w:lineRule="auto"/>
              <w:jc w:val="center"/>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（60分）</w:t>
            </w:r>
          </w:p>
        </w:tc>
        <w:tc>
          <w:tcPr>
            <w:tcW w:w="1796" w:type="dxa"/>
            <w:gridSpan w:val="2"/>
            <w:noWrap w:val="0"/>
            <w:vAlign w:val="center"/>
          </w:tcPr>
          <w:p>
            <w:pPr>
              <w:spacing w:line="240" w:lineRule="auto"/>
              <w:jc w:val="center"/>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报价（60分）</w:t>
            </w:r>
          </w:p>
        </w:tc>
        <w:tc>
          <w:tcPr>
            <w:tcW w:w="5943" w:type="dxa"/>
            <w:gridSpan w:val="2"/>
            <w:noWrap w:val="0"/>
            <w:vAlign w:val="top"/>
          </w:tcPr>
          <w:p>
            <w:pPr>
              <w:spacing w:line="240" w:lineRule="auto"/>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采用低价优先法计算，即满足招标文件要求且投标价格最低的投标报价为评标基准价，其价格分为满分。其他投标供应商的价格分按照下列公式计算（小数点保留两位）。</w:t>
            </w:r>
          </w:p>
          <w:p>
            <w:pPr>
              <w:spacing w:line="240" w:lineRule="auto"/>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 xml:space="preserve">投标报价得分=(评标基准价／投标报价)×10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vMerge w:val="restart"/>
            <w:noWrap w:val="0"/>
            <w:vAlign w:val="center"/>
          </w:tcPr>
          <w:p>
            <w:pPr>
              <w:spacing w:line="240" w:lineRule="auto"/>
              <w:jc w:val="center"/>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技术评分（满分 40分）</w:t>
            </w:r>
          </w:p>
        </w:tc>
        <w:tc>
          <w:tcPr>
            <w:tcW w:w="1796" w:type="dxa"/>
            <w:gridSpan w:val="2"/>
            <w:noWrap w:val="0"/>
            <w:vAlign w:val="center"/>
          </w:tcPr>
          <w:p>
            <w:pPr>
              <w:spacing w:line="240" w:lineRule="auto"/>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企业业绩（满</w:t>
            </w:r>
          </w:p>
          <w:p>
            <w:pPr>
              <w:spacing w:line="240" w:lineRule="auto"/>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分10分）</w:t>
            </w:r>
          </w:p>
        </w:tc>
        <w:tc>
          <w:tcPr>
            <w:tcW w:w="5943" w:type="dxa"/>
            <w:gridSpan w:val="2"/>
            <w:noWrap w:val="0"/>
            <w:vAlign w:val="top"/>
          </w:tcPr>
          <w:p>
            <w:pPr>
              <w:spacing w:line="240" w:lineRule="auto"/>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自2016年1月1日以来（以合同签订时间为准）：</w:t>
            </w:r>
          </w:p>
          <w:p>
            <w:pPr>
              <w:spacing w:line="240" w:lineRule="auto"/>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承担过单项合同养护面积（不含硬化、保洁、水面区域）为5万㎡（或以上））的医院或医科大学绿化养护项目业绩，每提供一项得2.5分，最高得1</w:t>
            </w:r>
            <w:bookmarkStart w:id="0" w:name="_GoBack"/>
            <w:bookmarkEnd w:id="0"/>
            <w:r>
              <w:rPr>
                <w:rFonts w:hint="eastAsia" w:ascii="仿宋" w:hAnsi="仿宋" w:eastAsia="仿宋" w:cs="仿宋"/>
                <w:b w:val="0"/>
                <w:bCs/>
                <w:sz w:val="28"/>
                <w:szCs w:val="28"/>
                <w:vertAlign w:val="baseline"/>
                <w:lang w:val="en-US" w:eastAsia="zh-CN"/>
              </w:rPr>
              <w:t>0分；</w:t>
            </w:r>
          </w:p>
          <w:p>
            <w:pPr>
              <w:spacing w:line="240" w:lineRule="auto"/>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注：同一项目按服务期限续签订多个合同的不累计计算，不累加计分。1、同一项目指的是项目编号一致的项目，老的项目合同期结束重新招标中标的，项目编号不同，按不同项目累计记分2、以上养护项目要求必须为政府采购部门或有资质的招标代理机构经过公开招标的项目，需附上合同及中标通知书，业主方自己采购的项目不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vMerge w:val="continue"/>
            <w:noWrap w:val="0"/>
            <w:vAlign w:val="top"/>
          </w:tcPr>
          <w:p>
            <w:pPr>
              <w:spacing w:line="360" w:lineRule="auto"/>
              <w:rPr>
                <w:rFonts w:hint="eastAsia" w:ascii="仿宋" w:hAnsi="仿宋" w:eastAsia="仿宋" w:cs="仿宋"/>
                <w:b w:val="0"/>
                <w:bCs/>
                <w:sz w:val="28"/>
                <w:szCs w:val="28"/>
                <w:vertAlign w:val="baseline"/>
                <w:lang w:val="en-US" w:eastAsia="zh-CN"/>
              </w:rPr>
            </w:pPr>
          </w:p>
        </w:tc>
        <w:tc>
          <w:tcPr>
            <w:tcW w:w="1796" w:type="dxa"/>
            <w:gridSpan w:val="2"/>
            <w:noWrap w:val="0"/>
            <w:vAlign w:val="center"/>
          </w:tcPr>
          <w:p>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rPr>
              <w:t>企业及相关人员信誉、荣誉（满分 2</w:t>
            </w:r>
            <w:r>
              <w:rPr>
                <w:rFonts w:hint="eastAsia" w:ascii="仿宋" w:hAnsi="仿宋" w:eastAsia="仿宋" w:cs="仿宋"/>
                <w:sz w:val="28"/>
                <w:szCs w:val="28"/>
                <w:lang w:val="en-US" w:eastAsia="zh-CN"/>
              </w:rPr>
              <w:t>0</w:t>
            </w:r>
            <w:r>
              <w:rPr>
                <w:rFonts w:hint="eastAsia" w:ascii="仿宋" w:hAnsi="仿宋" w:eastAsia="仿宋" w:cs="仿宋"/>
                <w:sz w:val="28"/>
                <w:szCs w:val="28"/>
              </w:rPr>
              <w:t>分）</w:t>
            </w:r>
          </w:p>
        </w:tc>
        <w:tc>
          <w:tcPr>
            <w:tcW w:w="5943" w:type="dxa"/>
            <w:gridSpan w:val="2"/>
            <w:noWrap w:val="0"/>
            <w:vAlign w:val="bottom"/>
          </w:tcPr>
          <w:p>
            <w:pPr>
              <w:spacing w:line="240" w:lineRule="auto"/>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1企业荣誉：自 2016年1月1日以来（以获奖证书或荣誉证书颁发时间为准）：</w:t>
            </w:r>
          </w:p>
          <w:p>
            <w:pPr>
              <w:spacing w:line="240" w:lineRule="auto"/>
              <w:ind w:firstLine="280" w:firstLineChars="100"/>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1）、投标人获得过市级（或以上）政府或工商行政主管部门颁发的“重合同守信用”（或“守合同重信用”）称号的得2分。</w:t>
            </w:r>
          </w:p>
          <w:p>
            <w:pPr>
              <w:spacing w:line="240" w:lineRule="auto"/>
              <w:ind w:firstLine="280" w:firstLineChars="100"/>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2）、投标人获得省级（或以上）行业主管部门或行业协会（或学会）颁发的“园林绿化企业50强”荣誉称号的得5分，本项最高得10分；须在投标文件中提供相应获奖证书或荣誉证书，证书颁发单位如果是行业协会（或学会）的须同时提供在中国社会组织网上查询到的证书颁发单位信息截图，否则相应评审项不得分。</w:t>
            </w:r>
          </w:p>
          <w:p>
            <w:pPr>
              <w:spacing w:line="240" w:lineRule="auto"/>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2、投标人拟派项目负责人具有市政（园林绿化）二级建造师得2分，本项最高得2分。须在投标文件中提供相应证书并同时提供由社保主管部门出具的投标人为其缴纳的2018年1月至2019年1月的养老保险证明（投标人是事业单位的，须由其主管部门出具有效证明材料），否则相应评审项不得分。</w:t>
            </w:r>
          </w:p>
          <w:p>
            <w:pPr>
              <w:spacing w:line="240" w:lineRule="auto"/>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3、投标人拟投入本项目服务团队人员中，具有园林（或园林绿化）专业高级（或以上）职称的，每人得2分，最多得6分。须在投标文件中提供相应人员职称证书并同时提供由社保主管部门出具的投标人为其缴纳的2018年1月至2019年1月的养老保险证明（投标人是事业单位的，须由其主管部门出具有效证明材料），否则相应评审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vMerge w:val="continue"/>
            <w:noWrap w:val="0"/>
            <w:vAlign w:val="top"/>
          </w:tcPr>
          <w:p>
            <w:pPr>
              <w:spacing w:line="360" w:lineRule="auto"/>
              <w:rPr>
                <w:rFonts w:hint="eastAsia" w:ascii="仿宋" w:hAnsi="仿宋" w:eastAsia="仿宋" w:cs="仿宋"/>
                <w:b w:val="0"/>
                <w:bCs/>
                <w:sz w:val="28"/>
                <w:szCs w:val="28"/>
                <w:vertAlign w:val="baseline"/>
                <w:lang w:val="en-US" w:eastAsia="zh-CN"/>
              </w:rPr>
            </w:pPr>
          </w:p>
        </w:tc>
        <w:tc>
          <w:tcPr>
            <w:tcW w:w="1101" w:type="dxa"/>
            <w:vMerge w:val="restart"/>
            <w:noWrap w:val="0"/>
            <w:vAlign w:val="center"/>
          </w:tcPr>
          <w:p>
            <w:pPr>
              <w:spacing w:line="240" w:lineRule="auto"/>
              <w:jc w:val="center"/>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服务方案评分标准（满分10分）</w:t>
            </w:r>
          </w:p>
        </w:tc>
        <w:tc>
          <w:tcPr>
            <w:tcW w:w="695" w:type="dxa"/>
            <w:noWrap w:val="0"/>
            <w:vAlign w:val="center"/>
          </w:tcPr>
          <w:p>
            <w:pPr>
              <w:spacing w:line="240" w:lineRule="auto"/>
              <w:jc w:val="center"/>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1</w:t>
            </w:r>
          </w:p>
        </w:tc>
        <w:tc>
          <w:tcPr>
            <w:tcW w:w="1522" w:type="dxa"/>
            <w:noWrap w:val="0"/>
            <w:vAlign w:val="bottom"/>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服务方案与具体技术措施（0-3分）</w:t>
            </w:r>
          </w:p>
        </w:tc>
        <w:tc>
          <w:tcPr>
            <w:tcW w:w="4421" w:type="dxa"/>
            <w:noWrap w:val="0"/>
            <w:vAlign w:val="bottom"/>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服务方案符合项目实际，须有详尽的技术方案，工艺先进、方法科学合理、可行，能指导具体作业并确保安全；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vMerge w:val="continue"/>
            <w:noWrap w:val="0"/>
            <w:vAlign w:val="top"/>
          </w:tcPr>
          <w:p>
            <w:pPr>
              <w:spacing w:line="360" w:lineRule="auto"/>
              <w:rPr>
                <w:rFonts w:hint="eastAsia" w:ascii="仿宋" w:hAnsi="仿宋" w:eastAsia="仿宋" w:cs="仿宋"/>
                <w:b w:val="0"/>
                <w:bCs/>
                <w:sz w:val="28"/>
                <w:szCs w:val="28"/>
                <w:vertAlign w:val="baseline"/>
                <w:lang w:val="en-US" w:eastAsia="zh-CN"/>
              </w:rPr>
            </w:pPr>
          </w:p>
        </w:tc>
        <w:tc>
          <w:tcPr>
            <w:tcW w:w="1101" w:type="dxa"/>
            <w:vMerge w:val="continue"/>
            <w:noWrap w:val="0"/>
            <w:vAlign w:val="top"/>
          </w:tcPr>
          <w:p>
            <w:pPr>
              <w:spacing w:line="240" w:lineRule="auto"/>
              <w:rPr>
                <w:rFonts w:hint="eastAsia" w:ascii="仿宋" w:hAnsi="仿宋" w:eastAsia="仿宋" w:cs="仿宋"/>
                <w:b w:val="0"/>
                <w:bCs/>
                <w:sz w:val="28"/>
                <w:szCs w:val="28"/>
                <w:vertAlign w:val="baseline"/>
                <w:lang w:val="en-US" w:eastAsia="zh-CN"/>
              </w:rPr>
            </w:pPr>
          </w:p>
        </w:tc>
        <w:tc>
          <w:tcPr>
            <w:tcW w:w="695" w:type="dxa"/>
            <w:noWrap w:val="0"/>
            <w:vAlign w:val="center"/>
          </w:tcPr>
          <w:p>
            <w:pPr>
              <w:spacing w:line="240" w:lineRule="auto"/>
              <w:jc w:val="center"/>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2</w:t>
            </w:r>
          </w:p>
        </w:tc>
        <w:tc>
          <w:tcPr>
            <w:tcW w:w="1522" w:type="dxa"/>
            <w:noWrap w:val="0"/>
            <w:vAlign w:val="bottom"/>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本项目服务的重点和难点分析及对应保障措施（0-3分）</w:t>
            </w:r>
          </w:p>
        </w:tc>
        <w:tc>
          <w:tcPr>
            <w:tcW w:w="4421" w:type="dxa"/>
            <w:noWrap w:val="0"/>
            <w:vAlign w:val="bottom"/>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项目服务难点、重点明确，并有相应的保证措施。应有专门的质量技术管理班子和制度、且人员配备合理，制度健全；应有质量技术保证措施和手段，自控体系完整，能有效保证技术质量；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vMerge w:val="continue"/>
            <w:noWrap w:val="0"/>
            <w:vAlign w:val="top"/>
          </w:tcPr>
          <w:p>
            <w:pPr>
              <w:spacing w:line="360" w:lineRule="auto"/>
              <w:rPr>
                <w:rFonts w:hint="eastAsia" w:ascii="仿宋" w:hAnsi="仿宋" w:eastAsia="仿宋" w:cs="仿宋"/>
                <w:b w:val="0"/>
                <w:bCs/>
                <w:sz w:val="28"/>
                <w:szCs w:val="28"/>
                <w:vertAlign w:val="baseline"/>
                <w:lang w:val="en-US" w:eastAsia="zh-CN"/>
              </w:rPr>
            </w:pPr>
          </w:p>
        </w:tc>
        <w:tc>
          <w:tcPr>
            <w:tcW w:w="1101" w:type="dxa"/>
            <w:vMerge w:val="continue"/>
            <w:noWrap w:val="0"/>
            <w:vAlign w:val="top"/>
          </w:tcPr>
          <w:p>
            <w:pPr>
              <w:spacing w:line="240" w:lineRule="auto"/>
              <w:rPr>
                <w:rFonts w:hint="eastAsia" w:ascii="仿宋" w:hAnsi="仿宋" w:eastAsia="仿宋" w:cs="仿宋"/>
                <w:b w:val="0"/>
                <w:bCs/>
                <w:sz w:val="28"/>
                <w:szCs w:val="28"/>
                <w:vertAlign w:val="baseline"/>
                <w:lang w:val="en-US" w:eastAsia="zh-CN"/>
              </w:rPr>
            </w:pPr>
          </w:p>
        </w:tc>
        <w:tc>
          <w:tcPr>
            <w:tcW w:w="695" w:type="dxa"/>
            <w:noWrap w:val="0"/>
            <w:vAlign w:val="center"/>
          </w:tcPr>
          <w:p>
            <w:pPr>
              <w:spacing w:line="240" w:lineRule="auto"/>
              <w:jc w:val="center"/>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3</w:t>
            </w:r>
          </w:p>
        </w:tc>
        <w:tc>
          <w:tcPr>
            <w:tcW w:w="1522" w:type="dxa"/>
            <w:noWrap w:val="0"/>
            <w:vAlign w:val="bottom"/>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安全文明服务管理体系与措施、资源配备计划（0-4分）</w:t>
            </w:r>
          </w:p>
        </w:tc>
        <w:tc>
          <w:tcPr>
            <w:tcW w:w="4421" w:type="dxa"/>
            <w:noWrap w:val="0"/>
            <w:vAlign w:val="bottom"/>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安全、文明服务管理体系健全、措施有效、可靠，拟投入的人工、材料、主要机械设备有详细计划且计划周密，设备数量、选型配置、进场数量、时间安排合理，满足项目实际需要。横向比较，。</w:t>
            </w:r>
          </w:p>
        </w:tc>
      </w:tr>
    </w:tbl>
    <w:p>
      <w:pPr>
        <w:spacing w:line="360" w:lineRule="auto"/>
        <w:ind w:firstLine="480" w:firstLineChars="200"/>
        <w:rPr>
          <w:rFonts w:hint="eastAsia" w:ascii="仿宋_GB2312" w:eastAsia="仿宋_GB2312"/>
          <w:b w:val="0"/>
          <w:bCs/>
          <w:sz w:val="24"/>
          <w:lang w:val="en-US" w:eastAsia="zh-CN"/>
        </w:rPr>
      </w:pPr>
      <w:r>
        <w:rPr>
          <w:rFonts w:hint="eastAsia" w:ascii="仿宋_GB2312" w:eastAsia="仿宋_GB2312"/>
          <w:b w:val="0"/>
          <w:bCs/>
          <w:sz w:val="24"/>
          <w:vertAlign w:val="baseline"/>
          <w:lang w:val="en-US" w:eastAsia="zh-CN"/>
        </w:rPr>
        <w:t>投标报价明显低于其他供应商的报价，可能影响服务质量或不能诚信履约，需提供类似造价的经正规途径公开招标的项目业绩中标通知书和合同等资料。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F66857"/>
    <w:rsid w:val="1B635E22"/>
    <w:rsid w:val="2BBE33B1"/>
    <w:rsid w:val="49F668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unhideWhenUsed/>
    <w:qFormat/>
    <w:uiPriority w:val="99"/>
    <w:pPr>
      <w:spacing w:after="120"/>
      <w:ind w:firstLine="420" w:firstLineChars="200"/>
    </w:pPr>
    <w:rPr>
      <w:rFonts w:eastAsia="宋体"/>
      <w:sz w:val="21"/>
      <w:szCs w:val="24"/>
    </w:rPr>
  </w:style>
  <w:style w:type="paragraph" w:styleId="3">
    <w:name w:val="Body Text Indent"/>
    <w:basedOn w:val="1"/>
    <w:next w:val="4"/>
    <w:unhideWhenUsed/>
    <w:qFormat/>
    <w:uiPriority w:val="99"/>
    <w:pPr>
      <w:ind w:left="420" w:leftChars="200"/>
    </w:pPr>
  </w:style>
  <w:style w:type="paragraph" w:styleId="4">
    <w:name w:val="envelope return"/>
    <w:basedOn w:val="1"/>
    <w:unhideWhenUsed/>
    <w:qFormat/>
    <w:uiPriority w:val="99"/>
    <w:pPr>
      <w:snapToGrid w:val="0"/>
    </w:pPr>
    <w:rPr>
      <w:rFonts w:ascii="Arial" w:hAnsi="Arial"/>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2019-03-05T10:19:00Z</dcterms:created>
  <dc:creator>后勤 盛飞</dc:creator>
  <cp:lastModifiedBy>后勤 盛飞</cp:lastModifiedBy>
  <dcterms:modified xsi:type="dcterms:W3CDTF">2019-05-07T06:52:57Z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