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7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942"/>
        <w:gridCol w:w="7083"/>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9756" w:type="dxa"/>
            <w:gridSpan w:val="4"/>
            <w:vAlign w:val="center"/>
          </w:tcPr>
          <w:p>
            <w:pPr>
              <w:adjustRightInd w:val="0"/>
              <w:snapToGrid w:val="0"/>
              <w:spacing w:line="0" w:lineRule="atLeast"/>
              <w:jc w:val="center"/>
              <w:rPr>
                <w:rFonts w:ascii="宋体" w:hAnsi="宋体"/>
                <w:b/>
                <w:sz w:val="24"/>
                <w:szCs w:val="24"/>
              </w:rPr>
            </w:pPr>
            <w:r>
              <w:rPr>
                <w:rFonts w:hint="eastAsia" w:ascii="宋体" w:hAnsi="宋体"/>
                <w:b/>
                <w:sz w:val="24"/>
                <w:szCs w:val="24"/>
              </w:rPr>
              <w:t>技术部分详细评审表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57" w:type="dxa"/>
            <w:vAlign w:val="center"/>
          </w:tcPr>
          <w:p>
            <w:pPr>
              <w:adjustRightInd w:val="0"/>
              <w:snapToGrid w:val="0"/>
              <w:spacing w:line="0" w:lineRule="atLeast"/>
              <w:jc w:val="center"/>
              <w:rPr>
                <w:rFonts w:ascii="宋体" w:hAnsi="宋体"/>
                <w:b/>
                <w:sz w:val="24"/>
                <w:szCs w:val="24"/>
              </w:rPr>
            </w:pPr>
            <w:r>
              <w:rPr>
                <w:rFonts w:hint="eastAsia" w:ascii="宋体" w:hAnsi="宋体"/>
                <w:b/>
                <w:sz w:val="24"/>
                <w:szCs w:val="24"/>
              </w:rPr>
              <w:t>序号</w:t>
            </w:r>
          </w:p>
        </w:tc>
        <w:tc>
          <w:tcPr>
            <w:tcW w:w="942" w:type="dxa"/>
            <w:vAlign w:val="center"/>
          </w:tcPr>
          <w:p>
            <w:pPr>
              <w:adjustRightInd w:val="0"/>
              <w:snapToGrid w:val="0"/>
              <w:spacing w:line="0" w:lineRule="atLeast"/>
              <w:jc w:val="center"/>
              <w:rPr>
                <w:rFonts w:ascii="宋体" w:hAnsi="宋体"/>
                <w:b/>
                <w:sz w:val="24"/>
                <w:szCs w:val="24"/>
              </w:rPr>
            </w:pPr>
            <w:r>
              <w:rPr>
                <w:rFonts w:hint="eastAsia" w:ascii="宋体" w:hAnsi="宋体"/>
                <w:b/>
                <w:sz w:val="24"/>
                <w:szCs w:val="24"/>
              </w:rPr>
              <w:t>指标</w:t>
            </w:r>
          </w:p>
        </w:tc>
        <w:tc>
          <w:tcPr>
            <w:tcW w:w="7083" w:type="dxa"/>
            <w:vAlign w:val="center"/>
          </w:tcPr>
          <w:p>
            <w:pPr>
              <w:adjustRightInd w:val="0"/>
              <w:snapToGrid w:val="0"/>
              <w:spacing w:line="0" w:lineRule="atLeast"/>
              <w:ind w:firstLine="482" w:firstLineChars="200"/>
              <w:jc w:val="center"/>
              <w:rPr>
                <w:rFonts w:ascii="宋体" w:hAnsi="宋体"/>
                <w:b/>
                <w:sz w:val="24"/>
                <w:szCs w:val="24"/>
              </w:rPr>
            </w:pPr>
            <w:r>
              <w:rPr>
                <w:rFonts w:hint="eastAsia" w:ascii="宋体" w:hAnsi="宋体"/>
                <w:b/>
                <w:sz w:val="24"/>
                <w:szCs w:val="24"/>
              </w:rPr>
              <w:t>指标描述</w:t>
            </w:r>
          </w:p>
        </w:tc>
        <w:tc>
          <w:tcPr>
            <w:tcW w:w="1274" w:type="dxa"/>
            <w:vAlign w:val="center"/>
          </w:tcPr>
          <w:p>
            <w:pPr>
              <w:adjustRightInd w:val="0"/>
              <w:snapToGrid w:val="0"/>
              <w:spacing w:line="0" w:lineRule="atLeast"/>
              <w:rPr>
                <w:rFonts w:ascii="宋体" w:hAnsi="宋体"/>
                <w:b/>
                <w:sz w:val="24"/>
                <w:szCs w:val="24"/>
              </w:rPr>
            </w:pPr>
            <w:r>
              <w:rPr>
                <w:rFonts w:hint="eastAsia" w:ascii="宋体" w:hAnsi="宋体"/>
                <w:b/>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5" w:hRule="atLeast"/>
          <w:jc w:val="center"/>
        </w:trPr>
        <w:tc>
          <w:tcPr>
            <w:tcW w:w="457" w:type="dxa"/>
            <w:vAlign w:val="center"/>
          </w:tcPr>
          <w:p>
            <w:pPr>
              <w:spacing w:line="0" w:lineRule="atLeast"/>
              <w:jc w:val="center"/>
              <w:rPr>
                <w:rFonts w:ascii="宋体" w:hAnsi="宋体"/>
                <w:b/>
                <w:sz w:val="24"/>
                <w:szCs w:val="24"/>
              </w:rPr>
            </w:pPr>
            <w:r>
              <w:rPr>
                <w:rFonts w:hint="eastAsia" w:ascii="宋体" w:hAnsi="宋体"/>
                <w:b/>
                <w:sz w:val="24"/>
                <w:szCs w:val="24"/>
              </w:rPr>
              <w:t>1</w:t>
            </w:r>
          </w:p>
        </w:tc>
        <w:tc>
          <w:tcPr>
            <w:tcW w:w="942" w:type="dxa"/>
            <w:vAlign w:val="center"/>
          </w:tcPr>
          <w:p>
            <w:pPr>
              <w:spacing w:before="24" w:after="24" w:line="400" w:lineRule="exact"/>
              <w:ind w:left="0" w:leftChars="-2" w:right="19" w:rightChars="9" w:hanging="4" w:hangingChars="2"/>
              <w:jc w:val="center"/>
              <w:rPr>
                <w:rFonts w:ascii="宋体" w:hAnsi="宋体"/>
                <w:sz w:val="24"/>
                <w:szCs w:val="24"/>
              </w:rPr>
            </w:pPr>
            <w:r>
              <w:rPr>
                <w:rFonts w:ascii="宋体" w:hAnsi="宋体" w:cs="宋体"/>
                <w:sz w:val="24"/>
                <w:szCs w:val="24"/>
              </w:rPr>
              <w:t>维保方案</w:t>
            </w:r>
          </w:p>
        </w:tc>
        <w:tc>
          <w:tcPr>
            <w:tcW w:w="7083" w:type="dxa"/>
            <w:vAlign w:val="center"/>
          </w:tcPr>
          <w:p>
            <w:pPr>
              <w:pStyle w:val="2"/>
              <w:spacing w:before="39" w:line="400" w:lineRule="exact"/>
              <w:ind w:right="17" w:rightChars="8"/>
              <w:rPr>
                <w:lang w:eastAsia="zh-CN"/>
              </w:rPr>
            </w:pPr>
            <w:r>
              <w:rPr>
                <w:lang w:eastAsia="zh-CN"/>
              </w:rPr>
              <w:t>根据投标供应商电梯维保方案内容的合理性和可操作性由评标委员会进行综合评分。</w:t>
            </w:r>
          </w:p>
          <w:p>
            <w:pPr>
              <w:pStyle w:val="2"/>
              <w:spacing w:before="39" w:line="400" w:lineRule="exact"/>
              <w:ind w:right="17" w:rightChars="8"/>
              <w:rPr>
                <w:lang w:eastAsia="zh-CN"/>
              </w:rPr>
            </w:pPr>
            <w:r>
              <w:rPr>
                <w:lang w:eastAsia="zh-CN"/>
              </w:rPr>
              <w:t>优的得3分，良的得</w:t>
            </w:r>
            <w:r>
              <w:rPr>
                <w:rFonts w:hint="eastAsia"/>
                <w:lang w:eastAsia="zh-CN"/>
              </w:rPr>
              <w:t>2</w:t>
            </w:r>
            <w:r>
              <w:rPr>
                <w:lang w:eastAsia="zh-CN"/>
              </w:rPr>
              <w:t>分，一般的得1分，较差或未提供的不得分。</w:t>
            </w:r>
          </w:p>
        </w:tc>
        <w:tc>
          <w:tcPr>
            <w:tcW w:w="1274" w:type="dxa"/>
            <w:vAlign w:val="center"/>
          </w:tcPr>
          <w:p>
            <w:pPr>
              <w:pStyle w:val="5"/>
              <w:jc w:val="center"/>
              <w:rPr>
                <w:rFonts w:ascii="宋体" w:hAnsi="宋体" w:cs="宋体"/>
                <w:sz w:val="24"/>
                <w:szCs w:val="24"/>
              </w:rPr>
            </w:pPr>
            <w:r>
              <w:rPr>
                <w:rFonts w:ascii="宋体" w:hAnsi="宋体" w:cs="宋体"/>
                <w:sz w:val="24"/>
                <w:szCs w:val="24"/>
              </w:rPr>
              <w:t>0-</w:t>
            </w:r>
            <w:r>
              <w:rPr>
                <w:rFonts w:ascii="宋体" w:hAnsi="宋体" w:cs="宋体"/>
                <w:sz w:val="24"/>
                <w:szCs w:val="24"/>
                <w:lang w:eastAsia="zh-CN"/>
              </w:rPr>
              <w:t>3</w:t>
            </w:r>
            <w:r>
              <w:rPr>
                <w:rFonts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6" w:hRule="atLeast"/>
          <w:jc w:val="center"/>
        </w:trPr>
        <w:tc>
          <w:tcPr>
            <w:tcW w:w="457" w:type="dxa"/>
            <w:vAlign w:val="center"/>
          </w:tcPr>
          <w:p>
            <w:pPr>
              <w:spacing w:line="0" w:lineRule="atLeast"/>
              <w:jc w:val="center"/>
              <w:rPr>
                <w:rFonts w:ascii="宋体" w:hAnsi="宋体"/>
                <w:sz w:val="24"/>
                <w:szCs w:val="24"/>
              </w:rPr>
            </w:pPr>
            <w:r>
              <w:rPr>
                <w:rFonts w:hint="eastAsia" w:ascii="宋体" w:hAnsi="宋体"/>
                <w:sz w:val="24"/>
                <w:szCs w:val="24"/>
              </w:rPr>
              <w:t>2</w:t>
            </w:r>
          </w:p>
        </w:tc>
        <w:tc>
          <w:tcPr>
            <w:tcW w:w="942" w:type="dxa"/>
            <w:vAlign w:val="center"/>
          </w:tcPr>
          <w:p>
            <w:pPr>
              <w:pStyle w:val="5"/>
              <w:spacing w:line="400" w:lineRule="exact"/>
              <w:jc w:val="center"/>
              <w:rPr>
                <w:rFonts w:ascii="宋体" w:hAnsi="宋体" w:cs="宋体"/>
                <w:sz w:val="24"/>
                <w:szCs w:val="24"/>
              </w:rPr>
            </w:pPr>
            <w:r>
              <w:rPr>
                <w:rFonts w:ascii="宋体" w:hAnsi="宋体" w:cs="宋体"/>
                <w:sz w:val="24"/>
                <w:szCs w:val="24"/>
              </w:rPr>
              <w:t>制度</w:t>
            </w:r>
          </w:p>
          <w:p>
            <w:pPr>
              <w:pStyle w:val="5"/>
              <w:spacing w:line="400" w:lineRule="exact"/>
              <w:jc w:val="center"/>
              <w:rPr>
                <w:rFonts w:ascii="宋体" w:hAnsi="宋体" w:cs="宋体"/>
                <w:sz w:val="24"/>
                <w:szCs w:val="24"/>
              </w:rPr>
            </w:pPr>
            <w:r>
              <w:rPr>
                <w:rFonts w:ascii="宋体" w:hAnsi="宋体" w:cs="宋体"/>
                <w:sz w:val="24"/>
                <w:szCs w:val="24"/>
              </w:rPr>
              <w:t>保障</w:t>
            </w:r>
          </w:p>
        </w:tc>
        <w:tc>
          <w:tcPr>
            <w:tcW w:w="7083" w:type="dxa"/>
            <w:vAlign w:val="center"/>
          </w:tcPr>
          <w:p>
            <w:pPr>
              <w:pStyle w:val="5"/>
              <w:spacing w:line="400" w:lineRule="exact"/>
              <w:jc w:val="both"/>
              <w:rPr>
                <w:sz w:val="24"/>
                <w:szCs w:val="24"/>
                <w:lang w:eastAsia="zh-CN"/>
              </w:rPr>
            </w:pPr>
            <w:r>
              <w:rPr>
                <w:rFonts w:ascii="宋体" w:hAnsi="宋体" w:cs="宋体"/>
                <w:sz w:val="24"/>
                <w:szCs w:val="24"/>
                <w:lang w:eastAsia="zh-CN"/>
              </w:rPr>
              <w:t>根据投标人电梯维保质量监管制度的规范性由评标委员会进行综合评分。</w:t>
            </w:r>
          </w:p>
          <w:p>
            <w:pPr>
              <w:pStyle w:val="5"/>
              <w:spacing w:line="400" w:lineRule="exact"/>
              <w:ind w:right="-18"/>
              <w:jc w:val="both"/>
              <w:rPr>
                <w:rFonts w:ascii="宋体" w:hAnsi="宋体" w:cs="宋体"/>
                <w:sz w:val="24"/>
                <w:szCs w:val="24"/>
                <w:lang w:eastAsia="zh-CN"/>
              </w:rPr>
            </w:pPr>
            <w:r>
              <w:rPr>
                <w:rFonts w:ascii="宋体" w:hAnsi="宋体" w:cs="宋体"/>
                <w:sz w:val="24"/>
                <w:szCs w:val="24"/>
                <w:lang w:eastAsia="zh-CN"/>
              </w:rPr>
              <w:t>优的得3分</w:t>
            </w:r>
            <w:r>
              <w:rPr>
                <w:rFonts w:ascii="宋体" w:hAnsi="宋体" w:cs="宋体"/>
                <w:spacing w:val="-36"/>
                <w:sz w:val="24"/>
                <w:szCs w:val="24"/>
                <w:lang w:eastAsia="zh-CN"/>
              </w:rPr>
              <w:t>，</w:t>
            </w:r>
            <w:r>
              <w:rPr>
                <w:rFonts w:ascii="宋体" w:hAnsi="宋体" w:cs="宋体"/>
                <w:sz w:val="24"/>
                <w:szCs w:val="24"/>
                <w:lang w:eastAsia="zh-CN"/>
              </w:rPr>
              <w:t>良的得2分</w:t>
            </w:r>
            <w:r>
              <w:rPr>
                <w:rFonts w:ascii="宋体" w:hAnsi="宋体" w:cs="宋体"/>
                <w:spacing w:val="-36"/>
                <w:sz w:val="24"/>
                <w:szCs w:val="24"/>
                <w:lang w:eastAsia="zh-CN"/>
              </w:rPr>
              <w:t>，</w:t>
            </w:r>
            <w:r>
              <w:rPr>
                <w:rFonts w:ascii="宋体" w:hAnsi="宋体" w:cs="宋体"/>
                <w:sz w:val="24"/>
                <w:szCs w:val="24"/>
                <w:lang w:eastAsia="zh-CN"/>
              </w:rPr>
              <w:t>一般得1分</w:t>
            </w:r>
            <w:r>
              <w:rPr>
                <w:rFonts w:ascii="宋体" w:hAnsi="宋体" w:cs="宋体"/>
                <w:spacing w:val="-36"/>
                <w:sz w:val="24"/>
                <w:szCs w:val="24"/>
                <w:lang w:eastAsia="zh-CN"/>
              </w:rPr>
              <w:t>，</w:t>
            </w:r>
            <w:r>
              <w:rPr>
                <w:rFonts w:ascii="宋体" w:hAnsi="宋体" w:cs="宋体"/>
                <w:sz w:val="24"/>
                <w:szCs w:val="24"/>
                <w:lang w:eastAsia="zh-CN"/>
              </w:rPr>
              <w:t>较差或未提供的不得分。</w:t>
            </w:r>
          </w:p>
        </w:tc>
        <w:tc>
          <w:tcPr>
            <w:tcW w:w="1274" w:type="dxa"/>
            <w:vAlign w:val="center"/>
          </w:tcPr>
          <w:p>
            <w:pPr>
              <w:pStyle w:val="5"/>
              <w:jc w:val="center"/>
              <w:rPr>
                <w:rFonts w:ascii="宋体" w:hAnsi="宋体" w:cs="宋体"/>
                <w:sz w:val="24"/>
                <w:szCs w:val="24"/>
              </w:rPr>
            </w:pPr>
            <w:r>
              <w:rPr>
                <w:rFonts w:ascii="宋体" w:hAnsi="宋体" w:cs="宋体"/>
                <w:sz w:val="24"/>
                <w:szCs w:val="24"/>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5" w:hRule="atLeast"/>
          <w:jc w:val="center"/>
        </w:trPr>
        <w:tc>
          <w:tcPr>
            <w:tcW w:w="457" w:type="dxa"/>
            <w:vAlign w:val="center"/>
          </w:tcPr>
          <w:p>
            <w:pPr>
              <w:spacing w:line="0" w:lineRule="atLeast"/>
              <w:jc w:val="center"/>
              <w:rPr>
                <w:rFonts w:ascii="宋体" w:hAnsi="宋体"/>
                <w:b/>
                <w:sz w:val="24"/>
                <w:szCs w:val="24"/>
              </w:rPr>
            </w:pPr>
            <w:r>
              <w:rPr>
                <w:rFonts w:hint="eastAsia" w:ascii="宋体" w:hAnsi="宋体"/>
                <w:b/>
                <w:sz w:val="24"/>
                <w:szCs w:val="24"/>
              </w:rPr>
              <w:t>3</w:t>
            </w:r>
          </w:p>
        </w:tc>
        <w:tc>
          <w:tcPr>
            <w:tcW w:w="942" w:type="dxa"/>
            <w:vAlign w:val="center"/>
          </w:tcPr>
          <w:p>
            <w:pPr>
              <w:pStyle w:val="5"/>
              <w:spacing w:line="400" w:lineRule="exact"/>
              <w:ind w:right="-17"/>
              <w:rPr>
                <w:rFonts w:ascii="宋体" w:hAnsi="宋体" w:cs="宋体"/>
                <w:sz w:val="24"/>
                <w:szCs w:val="24"/>
                <w:lang w:eastAsia="zh-CN"/>
              </w:rPr>
            </w:pPr>
            <w:r>
              <w:rPr>
                <w:rFonts w:ascii="宋体" w:hAnsi="宋体" w:cs="宋体"/>
                <w:sz w:val="24"/>
                <w:szCs w:val="24"/>
                <w:lang w:eastAsia="zh-CN"/>
              </w:rPr>
              <w:t>服务保障及应急预案</w:t>
            </w:r>
          </w:p>
        </w:tc>
        <w:tc>
          <w:tcPr>
            <w:tcW w:w="7083" w:type="dxa"/>
            <w:vAlign w:val="center"/>
          </w:tcPr>
          <w:p>
            <w:pPr>
              <w:pStyle w:val="5"/>
              <w:spacing w:line="400" w:lineRule="exact"/>
              <w:ind w:right="-18"/>
              <w:jc w:val="both"/>
              <w:rPr>
                <w:rFonts w:ascii="宋体" w:hAnsi="宋体" w:cs="宋体"/>
                <w:sz w:val="24"/>
                <w:szCs w:val="24"/>
                <w:lang w:eastAsia="zh-CN"/>
              </w:rPr>
            </w:pPr>
            <w:r>
              <w:rPr>
                <w:rFonts w:ascii="宋体" w:hAnsi="宋体" w:cs="宋体"/>
                <w:sz w:val="24"/>
                <w:szCs w:val="24"/>
                <w:lang w:eastAsia="zh-CN"/>
              </w:rPr>
              <w:t>根据投标人针对本电梯维保项目提出合理的保障办法及应急配合预案。</w:t>
            </w:r>
          </w:p>
          <w:p>
            <w:pPr>
              <w:pStyle w:val="5"/>
              <w:spacing w:line="400" w:lineRule="exact"/>
              <w:ind w:right="-18"/>
              <w:jc w:val="both"/>
              <w:rPr>
                <w:rFonts w:ascii="宋体" w:hAnsi="宋体" w:cs="宋体"/>
                <w:sz w:val="24"/>
                <w:szCs w:val="24"/>
                <w:lang w:eastAsia="zh-CN"/>
              </w:rPr>
            </w:pPr>
            <w:r>
              <w:rPr>
                <w:rFonts w:ascii="宋体" w:hAnsi="宋体" w:cs="宋体"/>
                <w:sz w:val="24"/>
                <w:szCs w:val="24"/>
                <w:lang w:eastAsia="zh-CN"/>
              </w:rPr>
              <w:t>优的得3分</w:t>
            </w:r>
            <w:r>
              <w:rPr>
                <w:rFonts w:hint="eastAsia" w:ascii="宋体" w:hAnsi="宋体" w:cs="宋体"/>
                <w:sz w:val="24"/>
                <w:szCs w:val="24"/>
                <w:lang w:eastAsia="zh-CN"/>
              </w:rPr>
              <w:t>，</w:t>
            </w:r>
            <w:r>
              <w:rPr>
                <w:rFonts w:ascii="宋体" w:hAnsi="宋体" w:cs="宋体"/>
                <w:sz w:val="24"/>
                <w:szCs w:val="24"/>
                <w:lang w:eastAsia="zh-CN"/>
              </w:rPr>
              <w:t>良的得2分，一般的得1分，较差或未提供的不得分。</w:t>
            </w:r>
          </w:p>
        </w:tc>
        <w:tc>
          <w:tcPr>
            <w:tcW w:w="1274" w:type="dxa"/>
            <w:vAlign w:val="center"/>
          </w:tcPr>
          <w:p>
            <w:pPr>
              <w:pStyle w:val="5"/>
              <w:jc w:val="center"/>
              <w:rPr>
                <w:rFonts w:ascii="宋体" w:hAnsi="宋体" w:cs="宋体"/>
                <w:sz w:val="24"/>
                <w:szCs w:val="24"/>
              </w:rPr>
            </w:pPr>
            <w:r>
              <w:rPr>
                <w:rFonts w:ascii="宋体" w:hAnsi="宋体" w:cs="宋体"/>
                <w:sz w:val="24"/>
                <w:szCs w:val="24"/>
              </w:rPr>
              <w:t>0</w:t>
            </w: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8" w:hRule="atLeast"/>
          <w:jc w:val="center"/>
        </w:trPr>
        <w:tc>
          <w:tcPr>
            <w:tcW w:w="457" w:type="dxa"/>
            <w:vAlign w:val="center"/>
          </w:tcPr>
          <w:p>
            <w:pPr>
              <w:spacing w:line="0" w:lineRule="atLeast"/>
              <w:jc w:val="center"/>
              <w:rPr>
                <w:rFonts w:ascii="宋体" w:hAnsi="宋体"/>
                <w:sz w:val="24"/>
                <w:szCs w:val="24"/>
              </w:rPr>
            </w:pPr>
            <w:r>
              <w:rPr>
                <w:rFonts w:hint="eastAsia" w:ascii="宋体" w:hAnsi="宋体"/>
                <w:sz w:val="24"/>
                <w:szCs w:val="24"/>
              </w:rPr>
              <w:t>4</w:t>
            </w:r>
          </w:p>
        </w:tc>
        <w:tc>
          <w:tcPr>
            <w:tcW w:w="942" w:type="dxa"/>
            <w:vAlign w:val="center"/>
          </w:tcPr>
          <w:p>
            <w:pPr>
              <w:pStyle w:val="5"/>
              <w:spacing w:line="400" w:lineRule="exact"/>
              <w:ind w:right="-17"/>
              <w:rPr>
                <w:rFonts w:ascii="宋体" w:hAnsi="宋体" w:cs="宋体"/>
                <w:sz w:val="24"/>
                <w:szCs w:val="24"/>
              </w:rPr>
            </w:pPr>
            <w:r>
              <w:rPr>
                <w:rFonts w:ascii="宋体" w:hAnsi="宋体" w:cs="宋体"/>
                <w:sz w:val="24"/>
                <w:szCs w:val="24"/>
                <w:lang w:eastAsia="zh-CN"/>
              </w:rPr>
              <w:t>服务及时性承诺</w:t>
            </w:r>
          </w:p>
        </w:tc>
        <w:tc>
          <w:tcPr>
            <w:tcW w:w="7083" w:type="dxa"/>
            <w:vAlign w:val="center"/>
          </w:tcPr>
          <w:p>
            <w:pPr>
              <w:pStyle w:val="5"/>
              <w:spacing w:line="400" w:lineRule="exact"/>
              <w:ind w:right="-17"/>
              <w:jc w:val="both"/>
              <w:rPr>
                <w:rFonts w:ascii="宋体" w:hAnsi="宋体" w:cs="宋体"/>
                <w:sz w:val="24"/>
                <w:szCs w:val="24"/>
                <w:lang w:eastAsia="zh-CN"/>
              </w:rPr>
            </w:pPr>
            <w:r>
              <w:rPr>
                <w:rFonts w:ascii="宋体" w:hAnsi="宋体" w:cs="宋体"/>
                <w:sz w:val="24"/>
                <w:szCs w:val="24"/>
                <w:lang w:eastAsia="zh-CN"/>
              </w:rPr>
              <w:t>维保服务人员服务响应时间，承诺15分钟内到达得1分，否则不得分。</w:t>
            </w:r>
          </w:p>
          <w:p>
            <w:pPr>
              <w:pStyle w:val="5"/>
              <w:spacing w:line="400" w:lineRule="exact"/>
              <w:ind w:right="-17"/>
              <w:jc w:val="both"/>
              <w:rPr>
                <w:rFonts w:ascii="宋体" w:hAnsi="宋体" w:cs="宋体"/>
                <w:b/>
                <w:sz w:val="24"/>
                <w:szCs w:val="24"/>
                <w:lang w:eastAsia="zh-CN"/>
              </w:rPr>
            </w:pPr>
            <w:r>
              <w:rPr>
                <w:rFonts w:ascii="宋体" w:hAnsi="宋体" w:cs="宋体"/>
                <w:b/>
                <w:sz w:val="24"/>
                <w:szCs w:val="24"/>
                <w:lang w:eastAsia="zh-CN"/>
              </w:rPr>
              <w:t>注：投标文件中提供承诺函。</w:t>
            </w:r>
          </w:p>
        </w:tc>
        <w:tc>
          <w:tcPr>
            <w:tcW w:w="1274" w:type="dxa"/>
            <w:vAlign w:val="center"/>
          </w:tcPr>
          <w:p>
            <w:pPr>
              <w:pStyle w:val="5"/>
              <w:jc w:val="center"/>
              <w:rPr>
                <w:rFonts w:ascii="宋体" w:hAnsi="宋体" w:cs="宋体"/>
                <w:sz w:val="24"/>
                <w:szCs w:val="24"/>
              </w:rPr>
            </w:pPr>
            <w:r>
              <w:rPr>
                <w:rFonts w:ascii="宋体" w:hAnsi="宋体" w:cs="宋体"/>
                <w:sz w:val="24"/>
                <w:szCs w:val="24"/>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57" w:type="dxa"/>
            <w:vAlign w:val="center"/>
          </w:tcPr>
          <w:p>
            <w:pPr>
              <w:spacing w:line="0" w:lineRule="atLeast"/>
              <w:jc w:val="center"/>
              <w:rPr>
                <w:rFonts w:ascii="宋体" w:hAnsi="宋体"/>
                <w:sz w:val="24"/>
                <w:szCs w:val="24"/>
              </w:rPr>
            </w:pPr>
            <w:r>
              <w:rPr>
                <w:rFonts w:hint="eastAsia" w:ascii="宋体" w:hAnsi="宋体"/>
                <w:sz w:val="24"/>
                <w:szCs w:val="24"/>
              </w:rPr>
              <w:t>5</w:t>
            </w:r>
          </w:p>
        </w:tc>
        <w:tc>
          <w:tcPr>
            <w:tcW w:w="942" w:type="dxa"/>
            <w:vAlign w:val="center"/>
          </w:tcPr>
          <w:p>
            <w:pPr>
              <w:pStyle w:val="2"/>
              <w:spacing w:before="39" w:line="400" w:lineRule="exact"/>
              <w:ind w:left="-136" w:leftChars="-65" w:right="-101" w:rightChars="-48" w:firstLine="1"/>
              <w:jc w:val="center"/>
            </w:pPr>
            <w:r>
              <w:t>投</w:t>
            </w:r>
          </w:p>
          <w:p>
            <w:pPr>
              <w:pStyle w:val="2"/>
              <w:spacing w:before="39" w:line="400" w:lineRule="exact"/>
              <w:ind w:left="-136" w:leftChars="-65" w:right="-101" w:rightChars="-48" w:firstLine="1"/>
              <w:jc w:val="center"/>
            </w:pPr>
            <w:r>
              <w:t>标</w:t>
            </w:r>
          </w:p>
          <w:p>
            <w:pPr>
              <w:pStyle w:val="2"/>
              <w:spacing w:before="39" w:line="400" w:lineRule="exact"/>
              <w:ind w:left="-136" w:leftChars="-65" w:right="-101" w:rightChars="-48" w:firstLine="1"/>
              <w:jc w:val="center"/>
            </w:pPr>
            <w:r>
              <w:t>人</w:t>
            </w:r>
          </w:p>
          <w:p>
            <w:pPr>
              <w:pStyle w:val="2"/>
              <w:spacing w:before="39" w:line="400" w:lineRule="exact"/>
              <w:ind w:left="-136" w:leftChars="-65" w:right="-101" w:rightChars="-48" w:firstLine="1"/>
              <w:jc w:val="center"/>
            </w:pPr>
            <w:r>
              <w:t>综</w:t>
            </w:r>
          </w:p>
          <w:p>
            <w:pPr>
              <w:pStyle w:val="2"/>
              <w:spacing w:before="39" w:line="400" w:lineRule="exact"/>
              <w:ind w:left="-136" w:leftChars="-65" w:right="-101" w:rightChars="-48" w:firstLine="1"/>
              <w:jc w:val="center"/>
            </w:pPr>
            <w:r>
              <w:t>合</w:t>
            </w:r>
          </w:p>
          <w:p>
            <w:pPr>
              <w:pStyle w:val="2"/>
              <w:spacing w:before="39" w:line="400" w:lineRule="exact"/>
              <w:ind w:left="-136" w:leftChars="-65" w:right="-101" w:rightChars="-48" w:firstLine="1"/>
              <w:jc w:val="center"/>
            </w:pPr>
            <w:r>
              <w:t>实</w:t>
            </w:r>
          </w:p>
          <w:p>
            <w:pPr>
              <w:pStyle w:val="2"/>
              <w:spacing w:before="39" w:line="400" w:lineRule="exact"/>
              <w:ind w:left="-136" w:leftChars="-65" w:right="-101" w:rightChars="-48" w:firstLine="1"/>
              <w:jc w:val="center"/>
              <w:rPr>
                <w:rFonts w:cs="宋体"/>
              </w:rPr>
            </w:pPr>
            <w:r>
              <w:t>力</w:t>
            </w:r>
          </w:p>
        </w:tc>
        <w:tc>
          <w:tcPr>
            <w:tcW w:w="7083" w:type="dxa"/>
            <w:vAlign w:val="center"/>
          </w:tcPr>
          <w:p>
            <w:pPr>
              <w:pStyle w:val="5"/>
              <w:spacing w:line="400" w:lineRule="exact"/>
              <w:ind w:right="18"/>
              <w:jc w:val="both"/>
              <w:rPr>
                <w:rFonts w:ascii="宋体" w:hAnsi="宋体" w:cs="宋体"/>
                <w:sz w:val="24"/>
                <w:szCs w:val="24"/>
                <w:lang w:eastAsia="zh-CN"/>
              </w:rPr>
            </w:pPr>
            <w:r>
              <w:rPr>
                <w:rFonts w:ascii="宋体" w:hAnsi="宋体" w:cs="宋体"/>
                <w:sz w:val="24"/>
                <w:szCs w:val="24"/>
                <w:lang w:eastAsia="zh-CN"/>
              </w:rPr>
              <w:t>1、投标人具有电梯安装维修改造</w:t>
            </w:r>
            <w:r>
              <w:rPr>
                <w:rFonts w:hint="eastAsia" w:ascii="宋体" w:hAnsi="宋体" w:cs="宋体"/>
                <w:sz w:val="24"/>
                <w:szCs w:val="24"/>
                <w:lang w:eastAsia="zh-CN"/>
              </w:rPr>
              <w:t>A级资质的得5分。</w:t>
            </w:r>
          </w:p>
          <w:p>
            <w:pPr>
              <w:pStyle w:val="5"/>
              <w:spacing w:line="400" w:lineRule="exact"/>
              <w:ind w:right="-18"/>
              <w:jc w:val="both"/>
              <w:rPr>
                <w:rFonts w:ascii="宋体" w:hAnsi="宋体" w:cs="宋体"/>
                <w:sz w:val="24"/>
                <w:szCs w:val="24"/>
                <w:lang w:eastAsia="zh-CN"/>
              </w:rPr>
            </w:pPr>
            <w:r>
              <w:rPr>
                <w:rFonts w:hint="eastAsia" w:ascii="宋体" w:hAnsi="宋体" w:cs="宋体"/>
                <w:sz w:val="24"/>
                <w:szCs w:val="24"/>
                <w:lang w:eastAsia="zh-CN"/>
              </w:rPr>
              <w:t>2、投标人具有电梯维修保养经验，10年及以上的得10</w:t>
            </w:r>
            <w:r>
              <w:rPr>
                <w:rFonts w:ascii="宋体" w:hAnsi="宋体" w:cs="宋体"/>
                <w:sz w:val="24"/>
                <w:szCs w:val="24"/>
                <w:lang w:eastAsia="zh-CN"/>
              </w:rPr>
              <w:t>分</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年及以上不足10年的得5分；其余不得分。（以《特种设备安装改造维修许可证》电梯，发证日期作为评分依据）。</w:t>
            </w:r>
          </w:p>
          <w:p>
            <w:pPr>
              <w:pStyle w:val="5"/>
              <w:spacing w:line="400" w:lineRule="exact"/>
              <w:ind w:right="-18"/>
              <w:jc w:val="both"/>
              <w:rPr>
                <w:rFonts w:ascii="宋体" w:hAnsi="宋体" w:cs="宋体"/>
                <w:spacing w:val="11"/>
                <w:sz w:val="24"/>
                <w:szCs w:val="24"/>
                <w:lang w:eastAsia="zh-CN"/>
              </w:rPr>
            </w:pPr>
            <w:r>
              <w:rPr>
                <w:rFonts w:hint="eastAsia" w:ascii="宋体" w:hAnsi="宋体" w:cs="宋体"/>
                <w:spacing w:val="9"/>
                <w:sz w:val="24"/>
                <w:szCs w:val="24"/>
                <w:lang w:eastAsia="zh-CN"/>
              </w:rPr>
              <w:t>3、</w:t>
            </w:r>
            <w:r>
              <w:rPr>
                <w:rFonts w:ascii="宋体" w:hAnsi="宋体" w:cs="宋体"/>
                <w:spacing w:val="9"/>
                <w:sz w:val="24"/>
                <w:szCs w:val="24"/>
                <w:lang w:eastAsia="zh-CN"/>
              </w:rPr>
              <w:t>投标人具</w:t>
            </w:r>
            <w:r>
              <w:rPr>
                <w:rFonts w:ascii="宋体" w:hAnsi="宋体" w:cs="宋体"/>
                <w:spacing w:val="11"/>
                <w:sz w:val="24"/>
                <w:szCs w:val="24"/>
                <w:lang w:eastAsia="zh-CN"/>
              </w:rPr>
              <w:t>有</w:t>
            </w:r>
            <w:r>
              <w:rPr>
                <w:rFonts w:hint="eastAsia" w:ascii="宋体" w:hAnsi="宋体" w:cs="宋体"/>
                <w:spacing w:val="11"/>
                <w:sz w:val="24"/>
                <w:szCs w:val="24"/>
                <w:lang w:eastAsia="zh-CN"/>
              </w:rPr>
              <w:t>信用等级</w:t>
            </w:r>
            <w:r>
              <w:rPr>
                <w:rFonts w:ascii="宋体" w:hAnsi="宋体" w:cs="宋体"/>
                <w:spacing w:val="11"/>
                <w:sz w:val="24"/>
                <w:szCs w:val="24"/>
                <w:lang w:eastAsia="zh-CN"/>
              </w:rPr>
              <w:t>AA</w:t>
            </w:r>
            <w:r>
              <w:rPr>
                <w:rFonts w:hint="eastAsia" w:ascii="宋体" w:hAnsi="宋体" w:cs="宋体"/>
                <w:spacing w:val="11"/>
                <w:sz w:val="24"/>
                <w:szCs w:val="24"/>
                <w:lang w:eastAsia="zh-CN"/>
              </w:rPr>
              <w:t>A证书</w:t>
            </w:r>
            <w:r>
              <w:rPr>
                <w:rFonts w:ascii="宋体" w:hAnsi="宋体" w:cs="宋体"/>
                <w:spacing w:val="1"/>
                <w:sz w:val="24"/>
                <w:szCs w:val="24"/>
                <w:lang w:eastAsia="zh-CN"/>
              </w:rPr>
              <w:t>（</w:t>
            </w:r>
            <w:r>
              <w:rPr>
                <w:rFonts w:hint="eastAsia" w:ascii="宋体" w:hAnsi="宋体" w:cs="宋体"/>
                <w:spacing w:val="1"/>
                <w:sz w:val="24"/>
                <w:szCs w:val="24"/>
                <w:lang w:eastAsia="zh-CN"/>
              </w:rPr>
              <w:t>证书颁发机构需具备中国人民银行征信备案机构资质、国家统计局涉外调查许可机构资质、发展与改革委员会备案信用评级机构资质</w:t>
            </w:r>
            <w:r>
              <w:rPr>
                <w:rFonts w:ascii="宋体" w:hAnsi="宋体" w:cs="宋体"/>
                <w:spacing w:val="1"/>
                <w:sz w:val="24"/>
                <w:szCs w:val="24"/>
                <w:lang w:eastAsia="zh-CN"/>
              </w:rPr>
              <w:t>）</w:t>
            </w:r>
            <w:r>
              <w:rPr>
                <w:rFonts w:hint="eastAsia" w:ascii="宋体" w:hAnsi="宋体" w:cs="宋体"/>
                <w:spacing w:val="11"/>
                <w:sz w:val="24"/>
                <w:szCs w:val="24"/>
                <w:lang w:eastAsia="zh-CN"/>
              </w:rPr>
              <w:t>，的得</w:t>
            </w:r>
            <w:r>
              <w:rPr>
                <w:rFonts w:ascii="宋体" w:hAnsi="宋体" w:cs="宋体"/>
                <w:spacing w:val="11"/>
                <w:sz w:val="24"/>
                <w:szCs w:val="24"/>
                <w:lang w:eastAsia="zh-CN"/>
              </w:rPr>
              <w:t>5</w:t>
            </w:r>
            <w:r>
              <w:rPr>
                <w:rFonts w:hint="eastAsia" w:ascii="宋体" w:hAnsi="宋体" w:cs="宋体"/>
                <w:spacing w:val="11"/>
                <w:sz w:val="24"/>
                <w:szCs w:val="24"/>
                <w:lang w:eastAsia="zh-CN"/>
              </w:rPr>
              <w:t>分。</w:t>
            </w:r>
          </w:p>
          <w:p>
            <w:pPr>
              <w:pStyle w:val="5"/>
              <w:spacing w:line="400" w:lineRule="exact"/>
              <w:ind w:right="-18"/>
              <w:rPr>
                <w:sz w:val="24"/>
                <w:szCs w:val="24"/>
                <w:lang w:eastAsia="zh-CN"/>
              </w:rPr>
            </w:pPr>
            <w:r>
              <w:rPr>
                <w:rFonts w:hint="eastAsia" w:ascii="宋体" w:hAnsi="宋体" w:cs="宋体"/>
                <w:spacing w:val="11"/>
                <w:sz w:val="24"/>
                <w:szCs w:val="24"/>
                <w:lang w:eastAsia="zh-CN"/>
              </w:rPr>
              <w:t>4、</w:t>
            </w:r>
            <w:r>
              <w:rPr>
                <w:rFonts w:hint="eastAsia" w:ascii="宋体" w:hAnsi="宋体" w:cs="宋体"/>
                <w:spacing w:val="1"/>
                <w:sz w:val="24"/>
                <w:szCs w:val="24"/>
                <w:lang w:eastAsia="zh-CN"/>
              </w:rPr>
              <w:t>投标人经《国家税务总局》（网址：</w:t>
            </w:r>
            <w:r>
              <w:rPr>
                <w:sz w:val="24"/>
                <w:szCs w:val="24"/>
                <w:lang w:eastAsia="zh-CN"/>
              </w:rPr>
              <w:t>http://hd.chinatax.gov.cn/fagui/action/InitCredit.do）</w:t>
            </w:r>
            <w:r>
              <w:rPr>
                <w:rFonts w:hint="eastAsia"/>
                <w:sz w:val="24"/>
                <w:szCs w:val="24"/>
                <w:lang w:eastAsia="zh-CN"/>
              </w:rPr>
              <w:t>查询，2</w:t>
            </w:r>
            <w:r>
              <w:rPr>
                <w:sz w:val="24"/>
                <w:szCs w:val="24"/>
                <w:lang w:eastAsia="zh-CN"/>
              </w:rPr>
              <w:t>015-2017（任意一个年度</w:t>
            </w:r>
            <w:r>
              <w:rPr>
                <w:rFonts w:hint="eastAsia"/>
                <w:sz w:val="24"/>
                <w:szCs w:val="24"/>
                <w:lang w:eastAsia="zh-CN"/>
              </w:rPr>
              <w:t>）纳税信用A级纳税人的得5分，其余不得分。提供查询截图做为评分依据。</w:t>
            </w:r>
          </w:p>
          <w:p>
            <w:pPr>
              <w:pStyle w:val="5"/>
              <w:spacing w:line="400" w:lineRule="exact"/>
              <w:ind w:right="-18"/>
              <w:jc w:val="both"/>
              <w:rPr>
                <w:sz w:val="24"/>
                <w:szCs w:val="24"/>
                <w:lang w:eastAsia="zh-CN"/>
              </w:rPr>
            </w:pPr>
            <w:r>
              <w:rPr>
                <w:rFonts w:hint="eastAsia"/>
                <w:sz w:val="24"/>
                <w:szCs w:val="24"/>
                <w:lang w:eastAsia="zh-CN"/>
              </w:rPr>
              <w:t>5、投标人具有《重质量讲诚信示范单位》称号的得5分。</w:t>
            </w:r>
          </w:p>
          <w:p>
            <w:pPr>
              <w:pStyle w:val="5"/>
              <w:spacing w:line="400" w:lineRule="exact"/>
              <w:ind w:right="-18"/>
              <w:jc w:val="both"/>
              <w:rPr>
                <w:sz w:val="24"/>
                <w:szCs w:val="24"/>
                <w:lang w:eastAsia="zh-CN"/>
              </w:rPr>
            </w:pPr>
            <w:r>
              <w:rPr>
                <w:rFonts w:hint="eastAsia"/>
                <w:sz w:val="24"/>
                <w:szCs w:val="24"/>
                <w:lang w:eastAsia="zh-CN"/>
              </w:rPr>
              <w:t>6、投标人应设有24小时免费服务电话，具有400免费电话的得</w:t>
            </w:r>
            <w:r>
              <w:rPr>
                <w:sz w:val="24"/>
                <w:szCs w:val="24"/>
                <w:lang w:eastAsia="zh-CN"/>
              </w:rPr>
              <w:t>5</w:t>
            </w:r>
            <w:r>
              <w:rPr>
                <w:rFonts w:hint="eastAsia"/>
                <w:sz w:val="24"/>
                <w:szCs w:val="24"/>
                <w:lang w:eastAsia="zh-CN"/>
              </w:rPr>
              <w:t>分，其余不得。提供相关证明材料及24小时有人值班的承诺</w:t>
            </w:r>
          </w:p>
          <w:p>
            <w:pPr>
              <w:pStyle w:val="5"/>
              <w:spacing w:line="400" w:lineRule="exact"/>
              <w:ind w:right="-18"/>
              <w:jc w:val="both"/>
              <w:rPr>
                <w:rFonts w:ascii="宋体" w:hAnsi="宋体" w:cs="宋体"/>
                <w:sz w:val="24"/>
                <w:szCs w:val="24"/>
                <w:lang w:eastAsia="zh-CN"/>
              </w:rPr>
            </w:pPr>
            <w:r>
              <w:rPr>
                <w:rFonts w:hint="eastAsia"/>
                <w:sz w:val="24"/>
                <w:szCs w:val="24"/>
                <w:lang w:eastAsia="zh-CN"/>
              </w:rPr>
              <w:t>7</w:t>
            </w:r>
            <w:r>
              <w:rPr>
                <w:sz w:val="24"/>
                <w:szCs w:val="24"/>
                <w:lang w:eastAsia="zh-CN"/>
              </w:rPr>
              <w:t>、</w:t>
            </w:r>
            <w:r>
              <w:rPr>
                <w:rFonts w:hint="eastAsia"/>
                <w:sz w:val="24"/>
                <w:szCs w:val="24"/>
                <w:lang w:eastAsia="zh-CN"/>
              </w:rPr>
              <w:t>投标人具有合肥市电梯行业协会颁发的五星级证书得5分，四星级证书得2分，其它不得分。</w:t>
            </w:r>
          </w:p>
          <w:p>
            <w:pPr>
              <w:pStyle w:val="5"/>
              <w:spacing w:line="400" w:lineRule="exact"/>
              <w:ind w:right="-18"/>
              <w:jc w:val="both"/>
              <w:rPr>
                <w:rFonts w:ascii="宋体" w:hAnsi="宋体" w:cs="宋体"/>
                <w:b/>
                <w:sz w:val="24"/>
                <w:szCs w:val="24"/>
                <w:lang w:eastAsia="zh-CN"/>
              </w:rPr>
            </w:pPr>
            <w:r>
              <w:rPr>
                <w:rFonts w:hint="eastAsia" w:ascii="宋体" w:hAnsi="宋体" w:cs="宋体"/>
                <w:b/>
                <w:sz w:val="24"/>
                <w:szCs w:val="24"/>
                <w:lang w:eastAsia="zh-CN"/>
              </w:rPr>
              <w:t>注：</w:t>
            </w:r>
            <w:r>
              <w:rPr>
                <w:rFonts w:ascii="宋体" w:hAnsi="宋体" w:cs="宋体"/>
                <w:b/>
                <w:sz w:val="24"/>
                <w:szCs w:val="24"/>
                <w:lang w:eastAsia="zh-CN"/>
              </w:rPr>
              <w:t>投标文件中提供获奖证书、批复、颁奖单位颁奖文件、网上公示截图（具有其中之一即可）等证明材料。</w:t>
            </w:r>
          </w:p>
          <w:p>
            <w:pPr>
              <w:pStyle w:val="5"/>
              <w:spacing w:line="400" w:lineRule="exact"/>
              <w:ind w:right="-18"/>
              <w:jc w:val="both"/>
              <w:rPr>
                <w:rFonts w:ascii="宋体" w:hAnsi="宋体" w:cs="宋体"/>
                <w:sz w:val="24"/>
                <w:szCs w:val="24"/>
                <w:lang w:eastAsia="zh-CN"/>
              </w:rPr>
            </w:pPr>
            <w:r>
              <w:rPr>
                <w:rFonts w:ascii="宋体" w:hAnsi="宋体" w:cs="宋体"/>
                <w:b/>
                <w:sz w:val="24"/>
                <w:szCs w:val="24"/>
                <w:lang w:eastAsia="zh-CN"/>
              </w:rPr>
              <w:t>以上材料提供扫描件或影印件，须能体现投标供应商名称，未提供或提供不全的不得分。</w:t>
            </w:r>
          </w:p>
        </w:tc>
        <w:tc>
          <w:tcPr>
            <w:tcW w:w="1274" w:type="dxa"/>
            <w:vAlign w:val="center"/>
          </w:tcPr>
          <w:p>
            <w:pPr>
              <w:pStyle w:val="5"/>
              <w:jc w:val="center"/>
              <w:rPr>
                <w:rFonts w:ascii="宋体" w:hAnsi="宋体" w:cs="宋体"/>
                <w:sz w:val="24"/>
                <w:szCs w:val="24"/>
                <w:lang w:eastAsia="zh-CN"/>
              </w:rPr>
            </w:pPr>
            <w:r>
              <w:rPr>
                <w:rFonts w:ascii="宋体" w:hAnsi="宋体" w:cs="宋体"/>
                <w:sz w:val="24"/>
                <w:szCs w:val="24"/>
              </w:rPr>
              <w:t>0-</w:t>
            </w:r>
            <w:r>
              <w:rPr>
                <w:rFonts w:ascii="宋体" w:hAnsi="宋体" w:cs="宋体"/>
                <w:sz w:val="24"/>
                <w:szCs w:val="24"/>
                <w:lang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3" w:hRule="atLeast"/>
          <w:jc w:val="center"/>
        </w:trPr>
        <w:tc>
          <w:tcPr>
            <w:tcW w:w="457" w:type="dxa"/>
            <w:vAlign w:val="center"/>
          </w:tcPr>
          <w:p>
            <w:pPr>
              <w:spacing w:line="0" w:lineRule="atLeast"/>
              <w:jc w:val="center"/>
              <w:rPr>
                <w:rFonts w:ascii="宋体" w:hAnsi="宋体"/>
                <w:sz w:val="24"/>
                <w:szCs w:val="24"/>
              </w:rPr>
            </w:pPr>
            <w:r>
              <w:rPr>
                <w:rFonts w:hint="eastAsia" w:ascii="宋体" w:hAnsi="宋体"/>
                <w:sz w:val="24"/>
                <w:szCs w:val="24"/>
              </w:rPr>
              <w:t>6</w:t>
            </w:r>
          </w:p>
        </w:tc>
        <w:tc>
          <w:tcPr>
            <w:tcW w:w="942" w:type="dxa"/>
            <w:vAlign w:val="center"/>
          </w:tcPr>
          <w:p>
            <w:pPr>
              <w:pStyle w:val="5"/>
              <w:spacing w:line="400" w:lineRule="exact"/>
              <w:ind w:right="-17"/>
              <w:jc w:val="center"/>
              <w:rPr>
                <w:rFonts w:ascii="宋体" w:hAnsi="宋体" w:cs="宋体"/>
                <w:sz w:val="24"/>
                <w:szCs w:val="24"/>
                <w:lang w:eastAsia="zh-CN"/>
              </w:rPr>
            </w:pPr>
            <w:r>
              <w:rPr>
                <w:rFonts w:ascii="宋体" w:hAnsi="宋体" w:cs="宋体"/>
                <w:sz w:val="24"/>
                <w:szCs w:val="24"/>
                <w:lang w:eastAsia="zh-CN"/>
              </w:rPr>
              <w:t>技</w:t>
            </w:r>
          </w:p>
          <w:p>
            <w:pPr>
              <w:pStyle w:val="5"/>
              <w:spacing w:line="400" w:lineRule="exact"/>
              <w:ind w:right="-17"/>
              <w:jc w:val="center"/>
              <w:rPr>
                <w:rFonts w:ascii="宋体" w:hAnsi="宋体" w:cs="宋体"/>
                <w:sz w:val="24"/>
                <w:szCs w:val="24"/>
                <w:lang w:eastAsia="zh-CN"/>
              </w:rPr>
            </w:pPr>
            <w:r>
              <w:rPr>
                <w:rFonts w:ascii="宋体" w:hAnsi="宋体" w:cs="宋体"/>
                <w:sz w:val="24"/>
                <w:szCs w:val="24"/>
                <w:lang w:eastAsia="zh-CN"/>
              </w:rPr>
              <w:t>术</w:t>
            </w:r>
          </w:p>
          <w:p>
            <w:pPr>
              <w:pStyle w:val="5"/>
              <w:spacing w:line="400" w:lineRule="exact"/>
              <w:ind w:right="-17"/>
              <w:jc w:val="center"/>
              <w:rPr>
                <w:rFonts w:ascii="宋体" w:hAnsi="宋体" w:cs="宋体"/>
                <w:sz w:val="24"/>
                <w:szCs w:val="24"/>
                <w:lang w:eastAsia="zh-CN"/>
              </w:rPr>
            </w:pPr>
            <w:r>
              <w:rPr>
                <w:rFonts w:ascii="宋体" w:hAnsi="宋体" w:cs="宋体"/>
                <w:sz w:val="24"/>
                <w:szCs w:val="24"/>
                <w:lang w:eastAsia="zh-CN"/>
              </w:rPr>
              <w:t>力</w:t>
            </w:r>
          </w:p>
          <w:p>
            <w:pPr>
              <w:pStyle w:val="5"/>
              <w:spacing w:line="400" w:lineRule="exact"/>
              <w:ind w:right="-17"/>
              <w:jc w:val="center"/>
              <w:rPr>
                <w:rFonts w:ascii="宋体" w:hAnsi="宋体" w:cs="宋体"/>
                <w:sz w:val="24"/>
                <w:szCs w:val="24"/>
                <w:lang w:eastAsia="zh-CN"/>
              </w:rPr>
            </w:pPr>
            <w:r>
              <w:rPr>
                <w:rFonts w:ascii="宋体" w:hAnsi="宋体" w:cs="宋体"/>
                <w:sz w:val="24"/>
                <w:szCs w:val="24"/>
                <w:lang w:eastAsia="zh-CN"/>
              </w:rPr>
              <w:t>量</w:t>
            </w:r>
          </w:p>
        </w:tc>
        <w:tc>
          <w:tcPr>
            <w:tcW w:w="7083" w:type="dxa"/>
            <w:vAlign w:val="center"/>
          </w:tcPr>
          <w:p>
            <w:pPr>
              <w:pStyle w:val="5"/>
              <w:spacing w:line="400" w:lineRule="exact"/>
              <w:ind w:right="-17"/>
              <w:jc w:val="both"/>
              <w:rPr>
                <w:rFonts w:ascii="宋体" w:hAnsi="宋体" w:cs="宋体"/>
                <w:sz w:val="24"/>
                <w:szCs w:val="24"/>
                <w:lang w:eastAsia="zh-CN"/>
              </w:rPr>
            </w:pPr>
            <w:r>
              <w:rPr>
                <w:rFonts w:hint="eastAsia" w:ascii="宋体" w:hAnsi="宋体" w:cs="宋体"/>
                <w:sz w:val="24"/>
                <w:szCs w:val="24"/>
                <w:lang w:eastAsia="zh-CN"/>
              </w:rPr>
              <w:t>拟投入本项目的维保员具有《特种设备作业人员证》（电梯）：</w:t>
            </w:r>
          </w:p>
          <w:p>
            <w:pPr>
              <w:pStyle w:val="5"/>
              <w:numPr>
                <w:ilvl w:val="0"/>
                <w:numId w:val="1"/>
              </w:numPr>
              <w:spacing w:line="400" w:lineRule="exact"/>
              <w:ind w:right="-18" w:firstLine="0"/>
              <w:jc w:val="both"/>
              <w:rPr>
                <w:rFonts w:ascii="宋体" w:hAnsi="宋体" w:cs="宋体"/>
                <w:sz w:val="24"/>
                <w:szCs w:val="24"/>
                <w:lang w:eastAsia="zh-CN"/>
              </w:rPr>
            </w:pPr>
            <w:r>
              <w:rPr>
                <w:rFonts w:hint="eastAsia" w:ascii="宋体" w:hAnsi="宋体" w:cs="宋体"/>
                <w:sz w:val="24"/>
                <w:szCs w:val="24"/>
                <w:lang w:eastAsia="zh-CN"/>
              </w:rPr>
              <w:t>持有</w:t>
            </w:r>
            <w:r>
              <w:rPr>
                <w:rFonts w:ascii="宋体" w:hAnsi="宋体" w:cs="宋体"/>
                <w:sz w:val="24"/>
                <w:szCs w:val="24"/>
                <w:lang w:eastAsia="zh-CN"/>
              </w:rPr>
              <w:t>T1证的每个得1分，最多</w:t>
            </w:r>
            <w:r>
              <w:rPr>
                <w:rFonts w:hint="eastAsia" w:ascii="宋体" w:hAnsi="宋体" w:cs="宋体"/>
                <w:sz w:val="24"/>
                <w:szCs w:val="24"/>
                <w:lang w:eastAsia="zh-CN"/>
              </w:rPr>
              <w:t>5分。</w:t>
            </w:r>
          </w:p>
          <w:p>
            <w:pPr>
              <w:pStyle w:val="5"/>
              <w:numPr>
                <w:ilvl w:val="0"/>
                <w:numId w:val="1"/>
              </w:numPr>
              <w:spacing w:line="400" w:lineRule="exact"/>
              <w:ind w:right="-18" w:firstLine="0"/>
              <w:jc w:val="both"/>
              <w:rPr>
                <w:rFonts w:ascii="宋体" w:hAnsi="宋体" w:cs="宋体"/>
                <w:sz w:val="24"/>
                <w:szCs w:val="24"/>
                <w:lang w:eastAsia="zh-CN"/>
              </w:rPr>
            </w:pPr>
            <w:r>
              <w:rPr>
                <w:rFonts w:hint="eastAsia" w:ascii="宋体" w:hAnsi="宋体" w:cs="宋体"/>
                <w:sz w:val="24"/>
                <w:szCs w:val="24"/>
                <w:lang w:eastAsia="zh-CN"/>
              </w:rPr>
              <w:t>持有</w:t>
            </w:r>
            <w:r>
              <w:rPr>
                <w:rFonts w:ascii="宋体" w:hAnsi="宋体" w:cs="宋体"/>
                <w:sz w:val="24"/>
                <w:szCs w:val="24"/>
                <w:lang w:eastAsia="zh-CN"/>
              </w:rPr>
              <w:t>T2证的每个得1分，最多</w:t>
            </w:r>
            <w:r>
              <w:rPr>
                <w:rFonts w:hint="eastAsia" w:ascii="宋体" w:hAnsi="宋体" w:cs="宋体"/>
                <w:sz w:val="24"/>
                <w:szCs w:val="24"/>
                <w:lang w:eastAsia="zh-CN"/>
              </w:rPr>
              <w:t>5分。</w:t>
            </w:r>
          </w:p>
          <w:p>
            <w:pPr>
              <w:pStyle w:val="5"/>
              <w:spacing w:line="400" w:lineRule="exact"/>
              <w:ind w:left="102" w:right="-18"/>
              <w:jc w:val="both"/>
              <w:rPr>
                <w:rFonts w:ascii="宋体" w:hAnsi="宋体" w:cs="宋体"/>
                <w:sz w:val="24"/>
                <w:szCs w:val="24"/>
                <w:lang w:eastAsia="zh-CN"/>
              </w:rPr>
            </w:pPr>
            <w:r>
              <w:rPr>
                <w:rFonts w:ascii="宋体" w:hAnsi="宋体" w:cs="宋体"/>
                <w:sz w:val="24"/>
                <w:szCs w:val="24"/>
                <w:lang w:eastAsia="zh-CN"/>
              </w:rPr>
              <w:t>注：1、同一人员持有多证的不累计得分</w:t>
            </w:r>
            <w:r>
              <w:rPr>
                <w:rFonts w:hint="eastAsia" w:ascii="宋体" w:hAnsi="宋体" w:cs="宋体"/>
                <w:sz w:val="24"/>
                <w:szCs w:val="24"/>
                <w:lang w:eastAsia="zh-CN"/>
              </w:rPr>
              <w:t>。</w:t>
            </w:r>
          </w:p>
          <w:p>
            <w:pPr>
              <w:pStyle w:val="5"/>
              <w:spacing w:line="400" w:lineRule="exact"/>
              <w:ind w:left="102" w:right="-18" w:firstLine="480" w:firstLineChars="200"/>
              <w:jc w:val="both"/>
              <w:rPr>
                <w:rFonts w:ascii="宋体" w:hAnsi="宋体" w:cs="宋体"/>
                <w:sz w:val="24"/>
                <w:szCs w:val="24"/>
                <w:lang w:eastAsia="zh-CN"/>
              </w:rPr>
            </w:pPr>
            <w:r>
              <w:rPr>
                <w:rFonts w:ascii="宋体" w:hAnsi="宋体" w:cs="宋体"/>
                <w:sz w:val="24"/>
                <w:szCs w:val="24"/>
                <w:lang w:eastAsia="zh-CN"/>
              </w:rPr>
              <w:t>2</w:t>
            </w:r>
            <w:r>
              <w:rPr>
                <w:rFonts w:hint="eastAsia" w:ascii="宋体" w:hAnsi="宋体" w:cs="宋体"/>
                <w:sz w:val="24"/>
                <w:szCs w:val="24"/>
                <w:lang w:eastAsia="zh-CN"/>
              </w:rPr>
              <w:t>、</w:t>
            </w:r>
            <w:r>
              <w:rPr>
                <w:rFonts w:ascii="宋体" w:hAnsi="宋体" w:cs="宋体"/>
                <w:sz w:val="24"/>
                <w:szCs w:val="24"/>
                <w:lang w:eastAsia="zh-CN"/>
              </w:rPr>
              <w:t>投标文件中须提供团队人员名单、操作证及投标供应商为其缴纳的</w:t>
            </w:r>
            <w:r>
              <w:rPr>
                <w:rFonts w:hint="eastAsia" w:ascii="宋体" w:hAnsi="宋体" w:cs="宋体"/>
                <w:sz w:val="24"/>
                <w:szCs w:val="24"/>
                <w:lang w:eastAsia="zh-CN"/>
              </w:rPr>
              <w:t>2018年8月以来连续三个月</w:t>
            </w:r>
            <w:r>
              <w:rPr>
                <w:rFonts w:ascii="宋体" w:hAnsi="宋体" w:cs="宋体"/>
                <w:sz w:val="24"/>
                <w:szCs w:val="24"/>
                <w:lang w:eastAsia="zh-CN"/>
              </w:rPr>
              <w:t>的社保证明材料</w:t>
            </w:r>
            <w:r>
              <w:rPr>
                <w:rFonts w:hint="eastAsia" w:ascii="宋体" w:hAnsi="宋体" w:cs="宋体"/>
                <w:sz w:val="24"/>
                <w:szCs w:val="24"/>
                <w:lang w:eastAsia="zh-CN"/>
              </w:rPr>
              <w:t>。</w:t>
            </w:r>
          </w:p>
        </w:tc>
        <w:tc>
          <w:tcPr>
            <w:tcW w:w="1274" w:type="dxa"/>
            <w:vAlign w:val="center"/>
          </w:tcPr>
          <w:p>
            <w:pPr>
              <w:pStyle w:val="5"/>
              <w:jc w:val="center"/>
              <w:rPr>
                <w:rFonts w:ascii="宋体" w:hAnsi="宋体" w:cs="宋体"/>
                <w:sz w:val="24"/>
                <w:szCs w:val="24"/>
              </w:rPr>
            </w:pPr>
            <w:r>
              <w:rPr>
                <w:rFonts w:ascii="宋体" w:hAnsi="宋体" w:cs="宋体"/>
                <w:sz w:val="24"/>
                <w:szCs w:val="24"/>
              </w:rPr>
              <w:t>0-</w:t>
            </w:r>
            <w:r>
              <w:rPr>
                <w:rFonts w:ascii="宋体" w:hAnsi="宋体" w:cs="宋体"/>
                <w:sz w:val="24"/>
                <w:szCs w:val="24"/>
                <w:lang w:eastAsia="zh-CN"/>
              </w:rPr>
              <w:t>10</w:t>
            </w:r>
            <w:r>
              <w:rPr>
                <w:rFonts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3" w:hRule="atLeast"/>
          <w:jc w:val="center"/>
        </w:trPr>
        <w:tc>
          <w:tcPr>
            <w:tcW w:w="457" w:type="dxa"/>
            <w:vAlign w:val="center"/>
          </w:tcPr>
          <w:p>
            <w:pPr>
              <w:spacing w:line="0" w:lineRule="atLeast"/>
              <w:jc w:val="center"/>
              <w:rPr>
                <w:rFonts w:ascii="宋体" w:hAnsi="宋体"/>
                <w:sz w:val="24"/>
                <w:szCs w:val="24"/>
              </w:rPr>
            </w:pPr>
            <w:r>
              <w:rPr>
                <w:rFonts w:hint="eastAsia" w:ascii="宋体" w:hAnsi="宋体"/>
                <w:sz w:val="24"/>
                <w:szCs w:val="24"/>
              </w:rPr>
              <w:t>7</w:t>
            </w:r>
          </w:p>
        </w:tc>
        <w:tc>
          <w:tcPr>
            <w:tcW w:w="942" w:type="dxa"/>
            <w:vAlign w:val="center"/>
          </w:tcPr>
          <w:p>
            <w:pPr>
              <w:pStyle w:val="5"/>
              <w:spacing w:line="400" w:lineRule="exact"/>
              <w:ind w:left="-51" w:leftChars="-47" w:right="-18" w:hanging="48" w:hangingChars="20"/>
              <w:jc w:val="center"/>
              <w:rPr>
                <w:rFonts w:ascii="宋体" w:hAnsi="宋体" w:cs="宋体"/>
                <w:sz w:val="24"/>
                <w:szCs w:val="24"/>
                <w:lang w:eastAsia="zh-CN"/>
              </w:rPr>
            </w:pPr>
            <w:r>
              <w:rPr>
                <w:rFonts w:ascii="宋体" w:hAnsi="宋体" w:cs="宋体"/>
                <w:sz w:val="24"/>
                <w:szCs w:val="24"/>
                <w:lang w:eastAsia="zh-CN"/>
              </w:rPr>
              <w:t>业</w:t>
            </w:r>
          </w:p>
          <w:p>
            <w:pPr>
              <w:pStyle w:val="5"/>
              <w:spacing w:line="400" w:lineRule="exact"/>
              <w:ind w:left="-51" w:leftChars="-47" w:right="-18" w:hanging="48" w:hangingChars="20"/>
              <w:jc w:val="center"/>
              <w:rPr>
                <w:sz w:val="24"/>
                <w:szCs w:val="24"/>
                <w:lang w:eastAsia="zh-CN"/>
              </w:rPr>
            </w:pPr>
            <w:r>
              <w:rPr>
                <w:rFonts w:ascii="宋体" w:hAnsi="宋体" w:cs="宋体"/>
                <w:sz w:val="24"/>
                <w:szCs w:val="24"/>
                <w:lang w:eastAsia="zh-CN"/>
              </w:rPr>
              <w:t>绩</w:t>
            </w:r>
          </w:p>
        </w:tc>
        <w:tc>
          <w:tcPr>
            <w:tcW w:w="7083" w:type="dxa"/>
            <w:vAlign w:val="center"/>
          </w:tcPr>
          <w:p>
            <w:pPr>
              <w:pStyle w:val="5"/>
              <w:spacing w:line="400" w:lineRule="exact"/>
              <w:ind w:right="-18"/>
              <w:jc w:val="both"/>
              <w:rPr>
                <w:rFonts w:ascii="宋体" w:hAnsi="宋体" w:cs="宋体"/>
                <w:sz w:val="24"/>
                <w:szCs w:val="24"/>
                <w:lang w:eastAsia="zh-CN"/>
              </w:rPr>
            </w:pPr>
            <w:r>
              <w:rPr>
                <w:rFonts w:ascii="宋体" w:hAnsi="宋体" w:cs="宋体"/>
                <w:sz w:val="24"/>
                <w:szCs w:val="24"/>
                <w:lang w:eastAsia="zh-CN"/>
              </w:rPr>
              <w:t>投标人自2015年1月1日</w:t>
            </w:r>
            <w:r>
              <w:rPr>
                <w:rFonts w:hint="eastAsia" w:ascii="宋体" w:hAnsi="宋体" w:cs="宋体"/>
                <w:sz w:val="24"/>
                <w:szCs w:val="24"/>
                <w:lang w:eastAsia="zh-CN"/>
              </w:rPr>
              <w:t>（以合同签订时间为准）</w:t>
            </w:r>
            <w:r>
              <w:rPr>
                <w:rFonts w:ascii="宋体" w:hAnsi="宋体" w:cs="宋体"/>
                <w:sz w:val="24"/>
                <w:szCs w:val="24"/>
                <w:lang w:eastAsia="zh-CN"/>
              </w:rPr>
              <w:t>以来具</w:t>
            </w:r>
            <w:r>
              <w:rPr>
                <w:rFonts w:hint="eastAsia" w:ascii="宋体" w:hAnsi="宋体" w:cs="宋体"/>
                <w:sz w:val="24"/>
                <w:szCs w:val="24"/>
                <w:lang w:eastAsia="zh-CN"/>
              </w:rPr>
              <w:t>有医院类</w:t>
            </w:r>
            <w:r>
              <w:rPr>
                <w:rFonts w:ascii="宋体" w:hAnsi="宋体" w:cs="宋体"/>
                <w:sz w:val="24"/>
                <w:szCs w:val="24"/>
                <w:lang w:eastAsia="zh-CN"/>
              </w:rPr>
              <w:t>电梯维保项目业绩</w:t>
            </w:r>
            <w:r>
              <w:rPr>
                <w:rFonts w:hint="eastAsia" w:ascii="宋体" w:hAnsi="宋体" w:cs="宋体"/>
                <w:sz w:val="24"/>
                <w:szCs w:val="24"/>
                <w:lang w:eastAsia="zh-CN"/>
              </w:rPr>
              <w:t>每个得2</w:t>
            </w:r>
            <w:r>
              <w:rPr>
                <w:rFonts w:ascii="宋体" w:hAnsi="宋体" w:cs="宋体"/>
                <w:sz w:val="24"/>
                <w:szCs w:val="24"/>
                <w:lang w:eastAsia="zh-CN"/>
              </w:rPr>
              <w:t>.5</w:t>
            </w:r>
            <w:r>
              <w:rPr>
                <w:rFonts w:hint="eastAsia" w:ascii="宋体" w:hAnsi="宋体" w:cs="宋体"/>
                <w:sz w:val="24"/>
                <w:szCs w:val="24"/>
                <w:lang w:eastAsia="zh-CN"/>
              </w:rPr>
              <w:t>分，总共10分，没有不得分。</w:t>
            </w:r>
          </w:p>
          <w:p>
            <w:pPr>
              <w:pStyle w:val="5"/>
              <w:spacing w:line="400" w:lineRule="exact"/>
              <w:ind w:right="-18"/>
              <w:jc w:val="both"/>
              <w:rPr>
                <w:sz w:val="24"/>
                <w:szCs w:val="24"/>
                <w:lang w:eastAsia="zh-CN"/>
              </w:rPr>
            </w:pPr>
            <w:r>
              <w:rPr>
                <w:rFonts w:hint="eastAsia" w:ascii="宋体" w:hAnsi="宋体" w:cs="宋体"/>
                <w:sz w:val="24"/>
                <w:szCs w:val="24"/>
                <w:lang w:eastAsia="zh-CN"/>
              </w:rPr>
              <w:t>注：投标文件中需提供业绩合同扫描件或影印件，如合同中无法体现需另附业主证明材料扫描件。</w:t>
            </w:r>
          </w:p>
        </w:tc>
        <w:tc>
          <w:tcPr>
            <w:tcW w:w="1274" w:type="dxa"/>
            <w:vAlign w:val="center"/>
          </w:tcPr>
          <w:p>
            <w:pPr>
              <w:jc w:val="center"/>
              <w:rPr>
                <w:sz w:val="24"/>
                <w:szCs w:val="24"/>
              </w:rPr>
            </w:pPr>
            <w:r>
              <w:rPr>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3" w:hRule="atLeast"/>
          <w:jc w:val="center"/>
        </w:trPr>
        <w:tc>
          <w:tcPr>
            <w:tcW w:w="457" w:type="dxa"/>
            <w:vAlign w:val="center"/>
          </w:tcPr>
          <w:p>
            <w:pPr>
              <w:spacing w:line="0" w:lineRule="atLeast"/>
              <w:jc w:val="center"/>
              <w:rPr>
                <w:rFonts w:ascii="宋体" w:hAnsi="宋体"/>
                <w:sz w:val="24"/>
                <w:szCs w:val="24"/>
              </w:rPr>
            </w:pPr>
          </w:p>
        </w:tc>
        <w:tc>
          <w:tcPr>
            <w:tcW w:w="942" w:type="dxa"/>
            <w:vAlign w:val="center"/>
          </w:tcPr>
          <w:p>
            <w:pPr>
              <w:spacing w:line="0" w:lineRule="atLeast"/>
              <w:jc w:val="center"/>
              <w:rPr>
                <w:rFonts w:ascii="宋体" w:hAnsi="宋体"/>
                <w:sz w:val="24"/>
                <w:szCs w:val="24"/>
              </w:rPr>
            </w:pPr>
            <w:r>
              <w:rPr>
                <w:rFonts w:hint="eastAsia" w:ascii="宋体" w:hAnsi="宋体"/>
                <w:sz w:val="24"/>
                <w:szCs w:val="24"/>
              </w:rPr>
              <w:t>合计</w:t>
            </w:r>
          </w:p>
        </w:tc>
        <w:tc>
          <w:tcPr>
            <w:tcW w:w="7083" w:type="dxa"/>
            <w:vAlign w:val="center"/>
          </w:tcPr>
          <w:p>
            <w:pPr>
              <w:spacing w:line="0" w:lineRule="atLeast"/>
              <w:jc w:val="center"/>
              <w:rPr>
                <w:rFonts w:ascii="宋体" w:hAnsi="宋体"/>
                <w:sz w:val="24"/>
                <w:szCs w:val="24"/>
              </w:rPr>
            </w:pPr>
          </w:p>
        </w:tc>
        <w:tc>
          <w:tcPr>
            <w:tcW w:w="1274" w:type="dxa"/>
            <w:vAlign w:val="center"/>
          </w:tcPr>
          <w:p>
            <w:pPr>
              <w:spacing w:line="0" w:lineRule="atLeast"/>
              <w:jc w:val="center"/>
              <w:rPr>
                <w:rFonts w:ascii="宋体" w:hAnsi="宋体"/>
                <w:sz w:val="24"/>
                <w:szCs w:val="24"/>
              </w:rPr>
            </w:pPr>
            <w:r>
              <w:rPr>
                <w:rFonts w:hint="eastAsia" w:ascii="宋体" w:hAnsi="宋体"/>
                <w:sz w:val="24"/>
                <w:szCs w:val="24"/>
              </w:rPr>
              <w:t>7</w:t>
            </w:r>
            <w:r>
              <w:rPr>
                <w:rFonts w:ascii="宋体" w:hAnsi="宋体"/>
                <w:sz w:val="24"/>
                <w:szCs w:val="24"/>
              </w:rPr>
              <w:t>0</w:t>
            </w:r>
            <w:r>
              <w:rPr>
                <w:rFonts w:hint="eastAsia" w:ascii="宋体" w:hAnsi="宋体"/>
                <w:sz w:val="24"/>
                <w:szCs w:val="24"/>
              </w:rPr>
              <w:t>分</w:t>
            </w:r>
          </w:p>
        </w:tc>
      </w:tr>
    </w:tbl>
    <w:p>
      <w:pPr>
        <w:adjustRightInd w:val="0"/>
        <w:snapToGrid w:val="0"/>
        <w:spacing w:line="360" w:lineRule="auto"/>
        <w:ind w:right="-10"/>
        <w:rPr>
          <w:rFonts w:ascii="宋体" w:hAnsi="宋体"/>
          <w:bCs/>
          <w:sz w:val="24"/>
          <w:lang w:eastAsia="zh-CN"/>
        </w:rPr>
      </w:pPr>
      <w:r>
        <w:rPr>
          <w:rFonts w:hint="eastAsia" w:ascii="宋体" w:hAnsi="宋体"/>
          <w:bCs/>
          <w:sz w:val="24"/>
          <w:lang w:eastAsia="zh-CN"/>
        </w:rPr>
        <w:t>依据通过初审的有效投标人名单，其投标人的商务部分得分按照以下方式计算：</w:t>
      </w:r>
      <w:r>
        <w:rPr>
          <w:rFonts w:ascii="宋体" w:hAnsi="宋体"/>
          <w:bCs/>
          <w:sz w:val="24"/>
          <w:lang w:eastAsia="zh-CN"/>
        </w:rPr>
        <w:t xml:space="preserve"> </w:t>
      </w:r>
    </w:p>
    <w:tbl>
      <w:tblPr>
        <w:tblStyle w:val="4"/>
        <w:tblW w:w="94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042"/>
        <w:gridCol w:w="6438"/>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7" w:type="dxa"/>
            <w:vAlign w:val="center"/>
          </w:tcPr>
          <w:p>
            <w:pPr>
              <w:spacing w:line="0" w:lineRule="atLeast"/>
              <w:rPr>
                <w:rFonts w:ascii="宋体" w:hAnsi="宋体"/>
                <w:b/>
                <w:sz w:val="24"/>
                <w:szCs w:val="24"/>
              </w:rPr>
            </w:pPr>
            <w:r>
              <w:rPr>
                <w:rFonts w:hint="eastAsia" w:ascii="宋体" w:hAnsi="宋体"/>
                <w:b/>
                <w:sz w:val="24"/>
                <w:szCs w:val="24"/>
              </w:rPr>
              <w:t>商务部分</w:t>
            </w:r>
          </w:p>
        </w:tc>
        <w:tc>
          <w:tcPr>
            <w:tcW w:w="1042" w:type="dxa"/>
            <w:vAlign w:val="center"/>
          </w:tcPr>
          <w:p>
            <w:pPr>
              <w:spacing w:line="0" w:lineRule="atLeast"/>
              <w:jc w:val="center"/>
              <w:rPr>
                <w:rFonts w:ascii="宋体" w:hAnsi="宋体"/>
                <w:sz w:val="24"/>
                <w:szCs w:val="24"/>
              </w:rPr>
            </w:pPr>
            <w:r>
              <w:rPr>
                <w:rFonts w:ascii="宋体" w:hAnsi="宋体"/>
                <w:sz w:val="24"/>
                <w:szCs w:val="24"/>
              </w:rPr>
              <w:t>最终投标报价</w:t>
            </w:r>
          </w:p>
        </w:tc>
        <w:tc>
          <w:tcPr>
            <w:tcW w:w="6438" w:type="dxa"/>
            <w:vAlign w:val="center"/>
          </w:tcPr>
          <w:p>
            <w:pPr>
              <w:spacing w:line="0" w:lineRule="atLeast"/>
              <w:rPr>
                <w:rFonts w:ascii="宋体" w:hAnsi="宋体"/>
                <w:sz w:val="24"/>
                <w:szCs w:val="24"/>
                <w:lang w:eastAsia="zh-CN"/>
              </w:rPr>
            </w:pPr>
            <w:r>
              <w:rPr>
                <w:rFonts w:ascii="宋体" w:hAnsi="宋体"/>
                <w:sz w:val="24"/>
                <w:szCs w:val="24"/>
                <w:lang w:eastAsia="zh-CN"/>
              </w:rPr>
              <w:t>价格分统一采用有效最低价法，即满足磋商文件要求且投标价格最低的投标报价为评标基准价，其价格分为满分。其他投标人的价格分统一按照下列公式计算：投标报价得分＝（评标基准价/投标报价）×</w:t>
            </w:r>
            <w:r>
              <w:rPr>
                <w:rFonts w:hint="eastAsia" w:ascii="宋体" w:hAnsi="宋体"/>
                <w:sz w:val="24"/>
                <w:szCs w:val="24"/>
                <w:u w:val="single"/>
                <w:lang w:eastAsia="zh-CN"/>
              </w:rPr>
              <w:t>30</w:t>
            </w:r>
            <w:r>
              <w:rPr>
                <w:rFonts w:ascii="宋体" w:hAnsi="宋体"/>
                <w:sz w:val="24"/>
                <w:szCs w:val="24"/>
                <w:lang w:eastAsia="zh-CN"/>
              </w:rPr>
              <w:t>％×100</w:t>
            </w:r>
          </w:p>
        </w:tc>
        <w:tc>
          <w:tcPr>
            <w:tcW w:w="796" w:type="dxa"/>
            <w:vAlign w:val="center"/>
          </w:tcPr>
          <w:p>
            <w:pPr>
              <w:widowControl/>
              <w:spacing w:line="0" w:lineRule="atLeast"/>
              <w:jc w:val="center"/>
              <w:rPr>
                <w:rFonts w:ascii="宋体" w:hAnsi="宋体" w:cs="宋体"/>
                <w:b/>
                <w:sz w:val="24"/>
                <w:szCs w:val="24"/>
              </w:rPr>
            </w:pPr>
            <w:r>
              <w:rPr>
                <w:rFonts w:hint="eastAsia" w:ascii="宋体" w:hAnsi="宋体" w:cs="宋体"/>
                <w:b/>
                <w:sz w:val="24"/>
                <w:szCs w:val="24"/>
              </w:rPr>
              <w:t>0-</w:t>
            </w:r>
            <w:r>
              <w:rPr>
                <w:rFonts w:hint="eastAsia" w:ascii="宋体" w:hAnsi="宋体" w:cs="宋体"/>
                <w:b/>
                <w:sz w:val="24"/>
                <w:szCs w:val="24"/>
                <w:u w:val="single"/>
              </w:rPr>
              <w:t>30</w:t>
            </w:r>
            <w:r>
              <w:rPr>
                <w:rFonts w:hint="eastAsia" w:ascii="宋体" w:hAnsi="宋体" w:cs="宋体"/>
                <w:b/>
                <w:sz w:val="24"/>
                <w:szCs w:val="24"/>
              </w:rPr>
              <w:t>分</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63C88"/>
    <w:multiLevelType w:val="multilevel"/>
    <w:tmpl w:val="48163C88"/>
    <w:lvl w:ilvl="0" w:tentative="0">
      <w:start w:val="1"/>
      <w:numFmt w:val="decimal"/>
      <w:lvlText w:val="%1、"/>
      <w:lvlJc w:val="left"/>
      <w:pPr>
        <w:ind w:left="462" w:hanging="360"/>
      </w:pPr>
      <w:rPr>
        <w:rFonts w:hint="default"/>
      </w:rPr>
    </w:lvl>
    <w:lvl w:ilvl="1" w:tentative="0">
      <w:start w:val="1"/>
      <w:numFmt w:val="lowerLetter"/>
      <w:lvlText w:val="%2)"/>
      <w:lvlJc w:val="left"/>
      <w:pPr>
        <w:ind w:left="942" w:hanging="420"/>
      </w:pPr>
    </w:lvl>
    <w:lvl w:ilvl="2" w:tentative="0">
      <w:start w:val="1"/>
      <w:numFmt w:val="lowerRoman"/>
      <w:lvlText w:val="%3."/>
      <w:lvlJc w:val="right"/>
      <w:pPr>
        <w:ind w:left="1362" w:hanging="420"/>
      </w:pPr>
    </w:lvl>
    <w:lvl w:ilvl="3" w:tentative="0">
      <w:start w:val="1"/>
      <w:numFmt w:val="decimal"/>
      <w:lvlText w:val="%4."/>
      <w:lvlJc w:val="left"/>
      <w:pPr>
        <w:ind w:left="1782" w:hanging="420"/>
      </w:pPr>
    </w:lvl>
    <w:lvl w:ilvl="4" w:tentative="0">
      <w:start w:val="1"/>
      <w:numFmt w:val="lowerLetter"/>
      <w:lvlText w:val="%5)"/>
      <w:lvlJc w:val="left"/>
      <w:pPr>
        <w:ind w:left="2202" w:hanging="420"/>
      </w:pPr>
    </w:lvl>
    <w:lvl w:ilvl="5" w:tentative="0">
      <w:start w:val="1"/>
      <w:numFmt w:val="lowerRoman"/>
      <w:lvlText w:val="%6."/>
      <w:lvlJc w:val="right"/>
      <w:pPr>
        <w:ind w:left="2622" w:hanging="420"/>
      </w:pPr>
    </w:lvl>
    <w:lvl w:ilvl="6" w:tentative="0">
      <w:start w:val="1"/>
      <w:numFmt w:val="decimal"/>
      <w:lvlText w:val="%7."/>
      <w:lvlJc w:val="left"/>
      <w:pPr>
        <w:ind w:left="3042" w:hanging="420"/>
      </w:pPr>
    </w:lvl>
    <w:lvl w:ilvl="7" w:tentative="0">
      <w:start w:val="1"/>
      <w:numFmt w:val="lowerLetter"/>
      <w:lvlText w:val="%8)"/>
      <w:lvlJc w:val="left"/>
      <w:pPr>
        <w:ind w:left="3462" w:hanging="420"/>
      </w:pPr>
    </w:lvl>
    <w:lvl w:ilvl="8" w:tentative="0">
      <w:start w:val="1"/>
      <w:numFmt w:val="lowerRoman"/>
      <w:lvlText w:val="%9."/>
      <w:lvlJc w:val="right"/>
      <w:pPr>
        <w:ind w:left="38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815A0B"/>
    <w:rsid w:val="0E815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pPr>
      <w:ind w:left="148"/>
    </w:pPr>
    <w:rPr>
      <w:rFonts w:ascii="宋体" w:hAnsi="宋体" w:eastAsia="宋体"/>
      <w:sz w:val="24"/>
      <w:szCs w:val="24"/>
    </w:rPr>
  </w:style>
  <w:style w:type="paragraph" w:customStyle="1" w:styleId="5">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2019-03-05T10:27:00Z</dcterms:created>
  <dc:creator>后勤 盛飞</dc:creator>
  <cp:lastModifiedBy>后勤 盛飞</cp:lastModifiedBy>
  <dcterms:modified xsi:type="dcterms:W3CDTF">2019-03-05T10:28:40Z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