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540"/>
          <w:tab w:val="left" w:pos="3600"/>
          <w:tab w:val="left" w:pos="3780"/>
          <w:tab w:val="left" w:pos="8460"/>
          <w:tab w:val="left" w:pos="9180"/>
        </w:tabs>
        <w:adjustRightInd w:val="0"/>
        <w:snapToGrid w:val="0"/>
        <w:spacing w:line="400" w:lineRule="exact"/>
        <w:ind w:right="-21" w:rightChars="-10"/>
        <w:jc w:val="center"/>
        <w:rPr>
          <w:rFonts w:ascii="宋体" w:hAnsi="宋体"/>
          <w:b/>
          <w:color w:val="auto"/>
          <w:sz w:val="24"/>
          <w:szCs w:val="24"/>
        </w:rPr>
      </w:pPr>
      <w:r>
        <w:rPr>
          <w:rFonts w:hint="eastAsia" w:ascii="宋体" w:hAnsi="宋体"/>
          <w:b/>
          <w:color w:val="auto"/>
          <w:sz w:val="24"/>
          <w:szCs w:val="24"/>
        </w:rPr>
        <w:t>技术评分表（满分</w:t>
      </w:r>
      <w:r>
        <w:rPr>
          <w:rFonts w:hint="eastAsia" w:ascii="宋体" w:hAnsi="宋体"/>
          <w:b/>
          <w:color w:val="auto"/>
          <w:sz w:val="24"/>
          <w:szCs w:val="24"/>
          <w:lang w:val="en-US" w:eastAsia="zh-CN"/>
        </w:rPr>
        <w:t>40</w:t>
      </w:r>
      <w:r>
        <w:rPr>
          <w:rFonts w:hint="eastAsia" w:ascii="宋体" w:hAnsi="宋体"/>
          <w:b/>
          <w:color w:val="auto"/>
          <w:sz w:val="24"/>
          <w:szCs w:val="24"/>
        </w:rPr>
        <w:t>分）</w:t>
      </w:r>
    </w:p>
    <w:tbl>
      <w:tblPr>
        <w:tblStyle w:val="6"/>
        <w:tblW w:w="9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54"/>
        <w:gridCol w:w="735"/>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blHeader/>
          <w:jc w:val="center"/>
        </w:trPr>
        <w:tc>
          <w:tcPr>
            <w:tcW w:w="775"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序号</w:t>
            </w:r>
          </w:p>
        </w:tc>
        <w:tc>
          <w:tcPr>
            <w:tcW w:w="1154"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评审内容</w:t>
            </w:r>
          </w:p>
        </w:tc>
        <w:tc>
          <w:tcPr>
            <w:tcW w:w="735"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分值</w:t>
            </w:r>
          </w:p>
        </w:tc>
        <w:tc>
          <w:tcPr>
            <w:tcW w:w="6794" w:type="dxa"/>
            <w:noWrap w:val="0"/>
            <w:vAlign w:val="center"/>
          </w:tcPr>
          <w:p>
            <w:pPr>
              <w:jc w:val="center"/>
              <w:rPr>
                <w:rFonts w:hint="eastAsia" w:ascii="宋体" w:hAnsi="宋体" w:cs="宋体"/>
                <w:b/>
                <w:color w:val="auto"/>
                <w:szCs w:val="21"/>
              </w:rPr>
            </w:pPr>
            <w:r>
              <w:rPr>
                <w:rFonts w:hint="eastAsia" w:ascii="宋体" w:hAnsi="宋体" w:cs="宋体"/>
                <w:b/>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8" w:hRule="atLeast"/>
          <w:jc w:val="center"/>
        </w:trPr>
        <w:tc>
          <w:tcPr>
            <w:tcW w:w="775" w:type="dxa"/>
            <w:noWrap w:val="0"/>
            <w:vAlign w:val="center"/>
          </w:tcPr>
          <w:p>
            <w:pPr>
              <w:spacing w:line="360" w:lineRule="auto"/>
              <w:jc w:val="center"/>
              <w:rPr>
                <w:rFonts w:hint="eastAsia" w:ascii="宋体" w:hAnsi="宋体" w:cs="宋体"/>
                <w:b/>
                <w:color w:val="auto"/>
                <w:szCs w:val="21"/>
              </w:rPr>
            </w:pPr>
            <w:r>
              <w:rPr>
                <w:rFonts w:hint="eastAsia" w:ascii="宋体" w:hAnsi="宋体" w:cs="宋体"/>
                <w:b/>
                <w:color w:val="auto"/>
                <w:szCs w:val="21"/>
              </w:rPr>
              <w:t>1</w:t>
            </w:r>
          </w:p>
        </w:tc>
        <w:tc>
          <w:tcPr>
            <w:tcW w:w="1154" w:type="dxa"/>
            <w:noWrap w:val="0"/>
            <w:vAlign w:val="center"/>
          </w:tcPr>
          <w:p>
            <w:pPr>
              <w:spacing w:line="360" w:lineRule="auto"/>
              <w:jc w:val="center"/>
              <w:rPr>
                <w:rFonts w:hint="eastAsia" w:ascii="宋体" w:hAnsi="宋体" w:cs="宋体"/>
                <w:b/>
                <w:color w:val="auto"/>
                <w:szCs w:val="21"/>
              </w:rPr>
            </w:pPr>
            <w:r>
              <w:rPr>
                <w:rFonts w:hint="eastAsia"/>
                <w:color w:val="auto"/>
                <w:spacing w:val="-4"/>
                <w:szCs w:val="21"/>
              </w:rPr>
              <w:t>办公场所情况</w:t>
            </w:r>
          </w:p>
        </w:tc>
        <w:tc>
          <w:tcPr>
            <w:tcW w:w="735"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分</w:t>
            </w:r>
          </w:p>
        </w:tc>
        <w:tc>
          <w:tcPr>
            <w:tcW w:w="6794" w:type="dxa"/>
            <w:noWrap w:val="0"/>
            <w:vAlign w:val="center"/>
          </w:tcPr>
          <w:p>
            <w:pPr>
              <w:pStyle w:val="7"/>
              <w:spacing w:line="360" w:lineRule="auto"/>
              <w:ind w:firstLine="420" w:firstLineChars="200"/>
              <w:rPr>
                <w:rFonts w:hint="eastAsia"/>
                <w:color w:val="auto"/>
                <w:szCs w:val="21"/>
              </w:rPr>
            </w:pPr>
            <w:r>
              <w:rPr>
                <w:rFonts w:hint="eastAsia"/>
                <w:color w:val="auto"/>
                <w:szCs w:val="21"/>
              </w:rPr>
              <w:t>投标人具有建筑面积不少于</w:t>
            </w:r>
            <w:r>
              <w:rPr>
                <w:rFonts w:hint="eastAsia"/>
                <w:color w:val="auto"/>
                <w:szCs w:val="21"/>
                <w:lang w:val="en-US"/>
              </w:rPr>
              <w:t>600</w:t>
            </w:r>
            <w:r>
              <w:rPr>
                <w:rFonts w:hint="eastAsia"/>
                <w:color w:val="auto"/>
                <w:spacing w:val="-4"/>
                <w:szCs w:val="21"/>
              </w:rPr>
              <w:t>平方米的固定办公场所的得</w:t>
            </w:r>
            <w:r>
              <w:rPr>
                <w:rFonts w:hint="eastAsia"/>
                <w:color w:val="auto"/>
                <w:spacing w:val="-4"/>
                <w:szCs w:val="21"/>
                <w:lang w:val="en-US" w:eastAsia="zh-CN"/>
              </w:rPr>
              <w:t>2</w:t>
            </w:r>
            <w:r>
              <w:rPr>
                <w:rFonts w:hint="eastAsia"/>
                <w:color w:val="auto"/>
                <w:spacing w:val="-22"/>
                <w:szCs w:val="21"/>
              </w:rPr>
              <w:t>分</w:t>
            </w:r>
            <w:r>
              <w:rPr>
                <w:rFonts w:hint="eastAsia"/>
                <w:color w:val="auto"/>
                <w:spacing w:val="-22"/>
                <w:szCs w:val="21"/>
                <w:lang w:eastAsia="zh-CN"/>
              </w:rPr>
              <w:t>；</w:t>
            </w:r>
            <w:r>
              <w:rPr>
                <w:rFonts w:hint="eastAsia"/>
                <w:color w:val="auto"/>
                <w:szCs w:val="21"/>
              </w:rPr>
              <w:t>建筑面积少于</w:t>
            </w:r>
            <w:r>
              <w:rPr>
                <w:rFonts w:hint="eastAsia"/>
                <w:color w:val="auto"/>
                <w:szCs w:val="21"/>
                <w:lang w:val="en-US"/>
              </w:rPr>
              <w:t>600</w:t>
            </w:r>
            <w:r>
              <w:rPr>
                <w:rFonts w:hint="eastAsia"/>
                <w:color w:val="auto"/>
                <w:spacing w:val="-4"/>
                <w:szCs w:val="21"/>
              </w:rPr>
              <w:t>平方米的得</w:t>
            </w:r>
            <w:r>
              <w:rPr>
                <w:rFonts w:hint="eastAsia"/>
                <w:color w:val="auto"/>
                <w:spacing w:val="-4"/>
                <w:szCs w:val="21"/>
                <w:lang w:val="en-US" w:eastAsia="zh-CN"/>
              </w:rPr>
              <w:t>1</w:t>
            </w:r>
            <w:r>
              <w:rPr>
                <w:rFonts w:hint="eastAsia"/>
                <w:color w:val="auto"/>
                <w:spacing w:val="-4"/>
                <w:szCs w:val="21"/>
              </w:rPr>
              <w:t>分</w:t>
            </w:r>
            <w:r>
              <w:rPr>
                <w:rFonts w:hint="eastAsia"/>
                <w:color w:val="auto"/>
                <w:spacing w:val="-4"/>
                <w:szCs w:val="21"/>
                <w:lang w:eastAsia="zh-CN"/>
              </w:rPr>
              <w:t>，</w:t>
            </w:r>
            <w:bookmarkStart w:id="0" w:name="_GoBack"/>
            <w:bookmarkEnd w:id="0"/>
            <w:r>
              <w:rPr>
                <w:rFonts w:hint="eastAsia"/>
                <w:color w:val="auto"/>
                <w:szCs w:val="21"/>
              </w:rPr>
              <w:t xml:space="preserve">每增加 </w:t>
            </w:r>
            <w:r>
              <w:rPr>
                <w:rFonts w:hint="eastAsia"/>
                <w:color w:val="auto"/>
                <w:szCs w:val="21"/>
                <w:lang w:val="en-US"/>
              </w:rPr>
              <w:t>2</w:t>
            </w:r>
            <w:r>
              <w:rPr>
                <w:rFonts w:hint="eastAsia"/>
                <w:color w:val="auto"/>
                <w:szCs w:val="21"/>
              </w:rPr>
              <w:t xml:space="preserve">00 平方米加 </w:t>
            </w:r>
            <w:r>
              <w:rPr>
                <w:rFonts w:hint="eastAsia"/>
                <w:color w:val="auto"/>
                <w:szCs w:val="21"/>
                <w:lang w:val="en-US" w:eastAsia="zh-CN"/>
              </w:rPr>
              <w:t>2</w:t>
            </w:r>
            <w:r>
              <w:rPr>
                <w:rFonts w:hint="eastAsia"/>
                <w:color w:val="auto"/>
                <w:szCs w:val="21"/>
              </w:rPr>
              <w:t>分（不足</w:t>
            </w:r>
            <w:r>
              <w:rPr>
                <w:rFonts w:hint="eastAsia"/>
                <w:color w:val="auto"/>
                <w:szCs w:val="21"/>
                <w:lang w:val="en-US"/>
              </w:rPr>
              <w:t>2</w:t>
            </w:r>
            <w:r>
              <w:rPr>
                <w:rFonts w:hint="eastAsia"/>
                <w:color w:val="auto"/>
                <w:szCs w:val="21"/>
              </w:rPr>
              <w:t>00 平方米不加分）。</w:t>
            </w:r>
            <w:r>
              <w:rPr>
                <w:rFonts w:hint="eastAsia"/>
                <w:color w:val="auto"/>
                <w:szCs w:val="21"/>
                <w:lang w:val="en-US"/>
              </w:rPr>
              <w:t>本项满分</w:t>
            </w:r>
            <w:r>
              <w:rPr>
                <w:rFonts w:hint="eastAsia"/>
                <w:color w:val="auto"/>
                <w:szCs w:val="21"/>
                <w:lang w:val="en-US" w:eastAsia="zh-CN"/>
              </w:rPr>
              <w:t>6</w:t>
            </w:r>
            <w:r>
              <w:rPr>
                <w:rFonts w:hint="eastAsia"/>
                <w:color w:val="auto"/>
                <w:szCs w:val="21"/>
              </w:rPr>
              <w:t xml:space="preserve">分。 </w:t>
            </w:r>
          </w:p>
          <w:p>
            <w:pPr>
              <w:pStyle w:val="7"/>
              <w:spacing w:before="120" w:beforeLines="50" w:line="360" w:lineRule="auto"/>
              <w:rPr>
                <w:rFonts w:hint="eastAsia"/>
                <w:color w:val="auto"/>
                <w:szCs w:val="21"/>
              </w:rPr>
            </w:pPr>
            <w:r>
              <w:rPr>
                <w:rFonts w:hint="eastAsia"/>
                <w:b/>
                <w:bCs/>
                <w:color w:val="auto"/>
                <w:szCs w:val="21"/>
              </w:rPr>
              <w:t>注：</w:t>
            </w:r>
            <w:r>
              <w:rPr>
                <w:rFonts w:hint="eastAsia"/>
                <w:b/>
                <w:bCs/>
                <w:color w:val="auto"/>
                <w:szCs w:val="21"/>
                <w:lang w:val="en-US" w:eastAsia="zh-CN"/>
              </w:rPr>
              <w:t>投标文件中</w:t>
            </w:r>
            <w:r>
              <w:rPr>
                <w:rFonts w:hint="eastAsia"/>
                <w:b/>
                <w:bCs/>
                <w:color w:val="auto"/>
                <w:szCs w:val="21"/>
              </w:rPr>
              <w:t>自有房产</w:t>
            </w:r>
            <w:r>
              <w:rPr>
                <w:rFonts w:hint="eastAsia"/>
                <w:b/>
                <w:bCs/>
                <w:color w:val="auto"/>
                <w:szCs w:val="21"/>
                <w:lang w:val="en-US" w:eastAsia="zh-CN"/>
              </w:rPr>
              <w:t>的</w:t>
            </w:r>
            <w:r>
              <w:rPr>
                <w:rFonts w:hint="eastAsia"/>
                <w:b/>
                <w:bCs/>
                <w:color w:val="auto"/>
                <w:szCs w:val="21"/>
              </w:rPr>
              <w:t>提供房产证</w:t>
            </w:r>
            <w:r>
              <w:rPr>
                <w:rFonts w:hint="eastAsia"/>
                <w:b/>
                <w:bCs/>
                <w:color w:val="auto"/>
                <w:szCs w:val="21"/>
                <w:lang w:eastAsia="zh-CN"/>
              </w:rPr>
              <w:t>（</w:t>
            </w:r>
            <w:r>
              <w:rPr>
                <w:rFonts w:hint="eastAsia"/>
                <w:b/>
                <w:bCs/>
                <w:color w:val="auto"/>
                <w:szCs w:val="21"/>
                <w:lang w:val="en-US" w:eastAsia="zh-CN"/>
              </w:rPr>
              <w:t>扫描件</w:t>
            </w:r>
            <w:r>
              <w:rPr>
                <w:rFonts w:hint="eastAsia"/>
                <w:b/>
                <w:bCs/>
                <w:color w:val="auto"/>
                <w:szCs w:val="21"/>
                <w:lang w:eastAsia="zh-CN"/>
              </w:rPr>
              <w:t>）</w:t>
            </w:r>
            <w:r>
              <w:rPr>
                <w:rFonts w:hint="eastAsia"/>
                <w:b/>
                <w:bCs/>
                <w:color w:val="auto"/>
                <w:szCs w:val="21"/>
              </w:rPr>
              <w:t>，租赁的提供租赁合同及相应房产证明</w:t>
            </w:r>
            <w:r>
              <w:rPr>
                <w:rFonts w:hint="eastAsia"/>
                <w:b/>
                <w:bCs/>
                <w:color w:val="auto"/>
                <w:szCs w:val="21"/>
                <w:lang w:eastAsia="zh-CN"/>
              </w:rPr>
              <w:t>（</w:t>
            </w:r>
            <w:r>
              <w:rPr>
                <w:rFonts w:hint="eastAsia"/>
                <w:b/>
                <w:bCs/>
                <w:color w:val="auto"/>
                <w:szCs w:val="21"/>
                <w:lang w:val="en-US" w:eastAsia="zh-CN"/>
              </w:rPr>
              <w:t>扫描件</w:t>
            </w:r>
            <w:r>
              <w:rPr>
                <w:rFonts w:hint="eastAsia"/>
                <w:b/>
                <w:bCs/>
                <w:color w:val="auto"/>
                <w:szCs w:val="21"/>
                <w:lang w:eastAsia="zh-CN"/>
              </w:rPr>
              <w:t>）</w:t>
            </w:r>
            <w:r>
              <w:rPr>
                <w:rFonts w:hint="eastAsia"/>
                <w:b/>
                <w:bCs/>
                <w:color w:val="auto"/>
                <w:szCs w:val="21"/>
              </w:rPr>
              <w:t>。房产证持有人或租赁合同承租方名称须与投标人名称一致。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5" w:hRule="atLeast"/>
          <w:jc w:val="center"/>
        </w:trPr>
        <w:tc>
          <w:tcPr>
            <w:tcW w:w="775" w:type="dxa"/>
            <w:noWrap w:val="0"/>
            <w:vAlign w:val="center"/>
          </w:tcPr>
          <w:p>
            <w:pPr>
              <w:spacing w:line="360"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115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公司实力</w:t>
            </w:r>
          </w:p>
        </w:tc>
        <w:tc>
          <w:tcPr>
            <w:tcW w:w="735"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分</w:t>
            </w:r>
          </w:p>
        </w:tc>
        <w:tc>
          <w:tcPr>
            <w:tcW w:w="6794" w:type="dxa"/>
            <w:noWrap w:val="0"/>
            <w:vAlign w:val="center"/>
          </w:tcPr>
          <w:p>
            <w:pPr>
              <w:pStyle w:val="2"/>
              <w:spacing w:line="360" w:lineRule="auto"/>
              <w:ind w:firstLine="0" w:firstLineChars="0"/>
              <w:rPr>
                <w:rFonts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企业稳定度： 投标人成立年限（Y），Y&lt;5年得1分；10年≥Y≥5年得2分，Y</w:t>
            </w:r>
            <w:r>
              <w:rPr>
                <w:rFonts w:ascii="宋体" w:hAnsi="宋体" w:eastAsia="宋体" w:cs="宋体"/>
                <w:color w:val="auto"/>
                <w:sz w:val="21"/>
                <w:szCs w:val="21"/>
                <w:lang w:val="en-US" w:eastAsia="zh-CN"/>
              </w:rPr>
              <w:t>&gt;</w:t>
            </w:r>
            <w:r>
              <w:rPr>
                <w:rFonts w:hint="eastAsia" w:ascii="宋体" w:hAnsi="宋体" w:eastAsia="宋体" w:cs="宋体"/>
                <w:color w:val="auto"/>
                <w:sz w:val="21"/>
                <w:szCs w:val="21"/>
                <w:lang w:val="en-US" w:eastAsia="zh-CN"/>
              </w:rPr>
              <w:t>10年得3分。</w:t>
            </w:r>
          </w:p>
          <w:p>
            <w:pPr>
              <w:pStyle w:val="2"/>
              <w:spacing w:line="360" w:lineRule="auto"/>
              <w:ind w:firstLine="0" w:firstLineChars="0"/>
              <w:rPr>
                <w:rFonts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2)根据员工数量进行综合评审，人员数量在20人以下得1分，20人（含）至50人得2分，50人（含50人）以上的得3分。</w:t>
            </w:r>
          </w:p>
          <w:p>
            <w:pPr>
              <w:widowControl/>
              <w:spacing w:line="360" w:lineRule="auto"/>
              <w:ind w:right="-107" w:rightChars="-51"/>
              <w:rPr>
                <w:rFonts w:hint="eastAsia" w:ascii="宋体" w:hAnsi="宋体" w:cs="宋体"/>
                <w:b/>
                <w:color w:val="auto"/>
                <w:szCs w:val="21"/>
                <w:u w:val="single"/>
              </w:rPr>
            </w:pPr>
            <w:r>
              <w:rPr>
                <w:rFonts w:hint="eastAsia" w:ascii="宋体" w:hAnsi="宋体" w:cs="宋体"/>
                <w:b/>
                <w:color w:val="auto"/>
                <w:szCs w:val="21"/>
                <w:u w:val="single"/>
              </w:rPr>
              <w:t>（注：以本单位缴纳的社保证明为准。）</w:t>
            </w:r>
          </w:p>
          <w:p>
            <w:pPr>
              <w:widowControl/>
              <w:numPr>
                <w:ilvl w:val="0"/>
                <w:numId w:val="1"/>
              </w:numPr>
              <w:spacing w:line="360" w:lineRule="auto"/>
              <w:ind w:right="-107" w:rightChars="-51"/>
              <w:rPr>
                <w:rFonts w:hint="eastAsia" w:ascii="宋体" w:hAnsi="宋体" w:cs="宋体"/>
                <w:bCs/>
                <w:color w:val="auto"/>
                <w:szCs w:val="21"/>
              </w:rPr>
            </w:pPr>
            <w:r>
              <w:rPr>
                <w:rFonts w:hint="eastAsia" w:ascii="宋体" w:hAnsi="宋体" w:cs="宋体"/>
                <w:bCs/>
                <w:color w:val="auto"/>
                <w:szCs w:val="21"/>
              </w:rPr>
              <w:t>企业注册造价师10人得1分，10人至20人得</w:t>
            </w:r>
            <w:r>
              <w:rPr>
                <w:rFonts w:hint="eastAsia" w:ascii="宋体" w:hAnsi="宋体" w:cs="宋体"/>
                <w:bCs/>
                <w:color w:val="auto"/>
                <w:szCs w:val="21"/>
                <w:lang w:val="en-US" w:eastAsia="zh-CN"/>
              </w:rPr>
              <w:t>2</w:t>
            </w:r>
            <w:r>
              <w:rPr>
                <w:rFonts w:hint="eastAsia" w:ascii="宋体" w:hAnsi="宋体" w:cs="宋体"/>
                <w:bCs/>
                <w:color w:val="auto"/>
                <w:szCs w:val="21"/>
              </w:rPr>
              <w:t>分，20人以上得</w:t>
            </w:r>
            <w:r>
              <w:rPr>
                <w:rFonts w:hint="eastAsia" w:ascii="宋体" w:hAnsi="宋体" w:cs="宋体"/>
                <w:bCs/>
                <w:color w:val="auto"/>
                <w:szCs w:val="21"/>
                <w:lang w:val="en-US" w:eastAsia="zh-CN"/>
              </w:rPr>
              <w:t>3</w:t>
            </w:r>
            <w:r>
              <w:rPr>
                <w:rFonts w:hint="eastAsia" w:ascii="宋体" w:hAnsi="宋体" w:cs="宋体"/>
                <w:bCs/>
                <w:color w:val="auto"/>
                <w:szCs w:val="21"/>
              </w:rPr>
              <w:t>分。</w:t>
            </w:r>
          </w:p>
          <w:p>
            <w:pPr>
              <w:widowControl/>
              <w:spacing w:line="360" w:lineRule="auto"/>
              <w:ind w:right="-107" w:rightChars="-51"/>
              <w:rPr>
                <w:rFonts w:hint="eastAsia" w:ascii="宋体" w:hAnsi="宋体" w:cs="宋体"/>
                <w:b/>
                <w:color w:val="auto"/>
                <w:szCs w:val="21"/>
                <w:u w:val="single"/>
              </w:rPr>
            </w:pPr>
            <w:r>
              <w:rPr>
                <w:rFonts w:hint="eastAsia" w:ascii="宋体" w:hAnsi="宋体" w:cs="宋体"/>
                <w:b/>
                <w:color w:val="auto"/>
                <w:szCs w:val="21"/>
              </w:rPr>
              <w:t>（注：含分支机构）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6" w:hRule="atLeast"/>
          <w:jc w:val="center"/>
        </w:trPr>
        <w:tc>
          <w:tcPr>
            <w:tcW w:w="775" w:type="dxa"/>
            <w:noWrap w:val="0"/>
            <w:vAlign w:val="center"/>
          </w:tcPr>
          <w:p>
            <w:pPr>
              <w:spacing w:line="360"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1154" w:type="dxa"/>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投标人</w:t>
            </w:r>
          </w:p>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业绩</w:t>
            </w:r>
          </w:p>
        </w:tc>
        <w:tc>
          <w:tcPr>
            <w:tcW w:w="735"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分</w:t>
            </w:r>
          </w:p>
        </w:tc>
        <w:tc>
          <w:tcPr>
            <w:tcW w:w="6794" w:type="dxa"/>
            <w:noWrap w:val="0"/>
            <w:vAlign w:val="center"/>
          </w:tcPr>
          <w:p>
            <w:pPr>
              <w:widowControl/>
              <w:spacing w:line="360" w:lineRule="auto"/>
              <w:ind w:right="-107" w:rightChars="-51"/>
              <w:rPr>
                <w:rFonts w:ascii="宋体" w:hAnsi="宋体"/>
                <w:color w:val="auto"/>
                <w:szCs w:val="21"/>
              </w:rPr>
            </w:pPr>
            <w:r>
              <w:rPr>
                <w:rFonts w:hint="eastAsia" w:ascii="宋体" w:hAnsi="宋体"/>
                <w:color w:val="auto"/>
                <w:szCs w:val="21"/>
              </w:rPr>
              <w:t>（</w:t>
            </w:r>
            <w:r>
              <w:rPr>
                <w:rFonts w:ascii="宋体" w:hAnsi="宋体"/>
                <w:color w:val="auto"/>
                <w:szCs w:val="21"/>
              </w:rPr>
              <w:t>201</w:t>
            </w:r>
            <w:r>
              <w:rPr>
                <w:rFonts w:hint="eastAsia" w:ascii="宋体" w:hAnsi="宋体"/>
                <w:color w:val="auto"/>
                <w:szCs w:val="21"/>
              </w:rPr>
              <w:t>5</w:t>
            </w:r>
            <w:r>
              <w:rPr>
                <w:rFonts w:ascii="宋体" w:hAnsi="宋体"/>
                <w:color w:val="auto"/>
                <w:szCs w:val="21"/>
              </w:rPr>
              <w:t>年</w:t>
            </w:r>
            <w:r>
              <w:rPr>
                <w:rFonts w:hint="eastAsia" w:ascii="宋体" w:hAnsi="宋体"/>
                <w:color w:val="auto"/>
                <w:szCs w:val="21"/>
              </w:rPr>
              <w:t>1</w:t>
            </w:r>
            <w:r>
              <w:rPr>
                <w:rFonts w:ascii="宋体" w:hAnsi="宋体"/>
                <w:color w:val="auto"/>
                <w:szCs w:val="21"/>
              </w:rPr>
              <w:t>月1日</w:t>
            </w:r>
            <w:r>
              <w:rPr>
                <w:rFonts w:hint="eastAsia" w:ascii="宋体" w:hAnsi="宋体"/>
                <w:color w:val="auto"/>
                <w:szCs w:val="21"/>
              </w:rPr>
              <w:t>至今）单个工程量清单及控制价编制合同中建筑面积（或总投资）计为M。</w:t>
            </w:r>
          </w:p>
          <w:p>
            <w:pPr>
              <w:pStyle w:val="3"/>
              <w:adjustRightInd w:val="0"/>
              <w:snapToGrid w:val="0"/>
              <w:spacing w:line="360" w:lineRule="auto"/>
              <w:ind w:right="-10" w:firstLine="0"/>
              <w:rPr>
                <w:rFonts w:ascii="宋体" w:hAnsi="宋体" w:eastAsia="宋体"/>
                <w:color w:val="auto"/>
                <w:sz w:val="21"/>
                <w:szCs w:val="21"/>
                <w:lang w:val="en-US" w:eastAsia="zh-CN"/>
              </w:rPr>
            </w:pPr>
            <w:r>
              <w:rPr>
                <w:rFonts w:hint="eastAsia" w:ascii="宋体" w:hAnsi="宋体" w:eastAsia="宋体"/>
                <w:color w:val="auto"/>
                <w:sz w:val="21"/>
                <w:szCs w:val="21"/>
                <w:lang w:val="en-US" w:eastAsia="zh-CN"/>
              </w:rPr>
              <w:t>（1）6万平方米（或总投资3亿元）&lt;M&lt;10万平方米（或总投资5亿元），每个合同业绩得1分。</w:t>
            </w:r>
          </w:p>
          <w:p>
            <w:pPr>
              <w:pStyle w:val="3"/>
              <w:adjustRightInd w:val="0"/>
              <w:snapToGrid w:val="0"/>
              <w:spacing w:line="360" w:lineRule="auto"/>
              <w:ind w:right="-10" w:firstLine="0"/>
              <w:rPr>
                <w:rFonts w:hint="eastAsia"/>
                <w:color w:val="auto"/>
                <w:szCs w:val="21"/>
              </w:rPr>
            </w:pPr>
            <w:r>
              <w:rPr>
                <w:rFonts w:hint="eastAsia" w:ascii="宋体" w:hAnsi="宋体" w:eastAsia="宋体"/>
                <w:color w:val="auto"/>
                <w:sz w:val="21"/>
                <w:szCs w:val="21"/>
                <w:lang w:val="en-US" w:eastAsia="zh-CN"/>
              </w:rPr>
              <w:t>（2）M≥10万平方米（或总投资5亿元）的，每个合同业绩得</w:t>
            </w:r>
            <w:r>
              <w:rPr>
                <w:rFonts w:ascii="宋体" w:hAnsi="宋体" w:eastAsia="宋体"/>
                <w:color w:val="auto"/>
                <w:sz w:val="21"/>
                <w:szCs w:val="21"/>
                <w:lang w:val="en-US" w:eastAsia="zh-CN"/>
              </w:rPr>
              <w:t>2</w:t>
            </w:r>
            <w:r>
              <w:rPr>
                <w:rFonts w:hint="eastAsia" w:ascii="宋体" w:hAnsi="宋体" w:eastAsia="宋体"/>
                <w:color w:val="auto"/>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6" w:hRule="atLeast"/>
          <w:jc w:val="center"/>
        </w:trPr>
        <w:tc>
          <w:tcPr>
            <w:tcW w:w="775" w:type="dxa"/>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154"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rPr>
              <w:t>投标人</w:t>
            </w:r>
          </w:p>
          <w:p>
            <w:pPr>
              <w:snapToGrid w:val="0"/>
              <w:spacing w:line="360" w:lineRule="auto"/>
              <w:jc w:val="center"/>
              <w:rPr>
                <w:rFonts w:hint="eastAsia" w:ascii="宋体" w:hAnsi="宋体" w:cs="宋体"/>
                <w:color w:val="auto"/>
                <w:szCs w:val="21"/>
              </w:rPr>
            </w:pPr>
            <w:r>
              <w:rPr>
                <w:rFonts w:hint="eastAsia" w:ascii="宋体" w:hAnsi="宋体" w:cs="宋体"/>
                <w:color w:val="auto"/>
                <w:szCs w:val="21"/>
              </w:rPr>
              <w:t>荣誉</w:t>
            </w:r>
          </w:p>
        </w:tc>
        <w:tc>
          <w:tcPr>
            <w:tcW w:w="735"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分</w:t>
            </w:r>
          </w:p>
        </w:tc>
        <w:tc>
          <w:tcPr>
            <w:tcW w:w="6794" w:type="dxa"/>
            <w:noWrap w:val="0"/>
            <w:vAlign w:val="center"/>
          </w:tcPr>
          <w:p>
            <w:pPr>
              <w:autoSpaceDE w:val="0"/>
              <w:autoSpaceDN w:val="0"/>
              <w:adjustRightInd w:val="0"/>
              <w:snapToGrid w:val="0"/>
              <w:spacing w:line="360" w:lineRule="auto"/>
              <w:rPr>
                <w:rFonts w:ascii="宋体" w:hAnsi="宋体" w:cs="宋体"/>
                <w:b/>
                <w:bCs/>
                <w:color w:val="auto"/>
                <w:szCs w:val="21"/>
              </w:rPr>
            </w:pPr>
            <w:r>
              <w:rPr>
                <w:rFonts w:hint="eastAsia" w:ascii="宋体" w:hAnsi="宋体" w:cs="宋体"/>
                <w:color w:val="auto"/>
                <w:szCs w:val="21"/>
              </w:rPr>
              <w:t>（</w:t>
            </w:r>
            <w:r>
              <w:rPr>
                <w:rFonts w:ascii="宋体" w:hAnsi="宋体" w:cs="宋体"/>
                <w:color w:val="auto"/>
                <w:szCs w:val="21"/>
              </w:rPr>
              <w:t>201</w:t>
            </w:r>
            <w:r>
              <w:rPr>
                <w:rFonts w:hint="eastAsia" w:ascii="宋体" w:hAnsi="宋体" w:cs="宋体"/>
                <w:color w:val="auto"/>
                <w:szCs w:val="21"/>
                <w:lang w:val="en-US" w:eastAsia="zh-CN"/>
              </w:rPr>
              <w:t>5</w:t>
            </w:r>
            <w:r>
              <w:rPr>
                <w:rFonts w:ascii="宋体" w:hAnsi="宋体" w:cs="宋体"/>
                <w:color w:val="auto"/>
                <w:szCs w:val="21"/>
              </w:rPr>
              <w:t>年</w:t>
            </w:r>
            <w:r>
              <w:rPr>
                <w:rFonts w:hint="eastAsia" w:ascii="宋体" w:hAnsi="宋体" w:cs="宋体"/>
                <w:color w:val="auto"/>
                <w:szCs w:val="21"/>
              </w:rPr>
              <w:t>1</w:t>
            </w:r>
            <w:r>
              <w:rPr>
                <w:rFonts w:ascii="宋体" w:hAnsi="宋体" w:cs="宋体"/>
                <w:color w:val="auto"/>
                <w:szCs w:val="21"/>
              </w:rPr>
              <w:t>月1日</w:t>
            </w:r>
            <w:r>
              <w:rPr>
                <w:rFonts w:hint="eastAsia" w:ascii="宋体" w:hAnsi="宋体" w:cs="宋体"/>
                <w:color w:val="auto"/>
                <w:szCs w:val="21"/>
              </w:rPr>
              <w:t>至今）：</w:t>
            </w:r>
          </w:p>
          <w:p>
            <w:pPr>
              <w:pStyle w:val="8"/>
              <w:autoSpaceDE w:val="0"/>
              <w:autoSpaceDN w:val="0"/>
              <w:adjustRightInd w:val="0"/>
              <w:snapToGrid w:val="0"/>
              <w:spacing w:line="360" w:lineRule="auto"/>
              <w:rPr>
                <w:rFonts w:ascii="宋体" w:hAnsi="宋体" w:cs="宋体"/>
                <w:color w:val="auto"/>
                <w:szCs w:val="21"/>
              </w:rPr>
            </w:pPr>
            <w:r>
              <w:rPr>
                <w:rFonts w:hint="eastAsia" w:ascii="宋体" w:hAnsi="宋体"/>
                <w:color w:val="auto"/>
                <w:szCs w:val="21"/>
              </w:rPr>
              <w:t>具有中国建设工程造价管理协会颁发的先进单位会员的得</w:t>
            </w:r>
            <w:r>
              <w:rPr>
                <w:rFonts w:hint="eastAsia" w:ascii="宋体" w:hAnsi="宋体"/>
                <w:color w:val="auto"/>
                <w:szCs w:val="21"/>
                <w:lang w:val="en-US" w:eastAsia="zh-CN"/>
              </w:rPr>
              <w:t>4</w:t>
            </w:r>
            <w:r>
              <w:rPr>
                <w:rFonts w:hint="eastAsia" w:ascii="宋体" w:hAnsi="宋体"/>
                <w:color w:val="auto"/>
                <w:szCs w:val="21"/>
              </w:rPr>
              <w:t>分，省级造价管理协会颁发的先进单位得</w:t>
            </w:r>
            <w:r>
              <w:rPr>
                <w:rFonts w:hint="eastAsia" w:ascii="宋体" w:hAnsi="宋体"/>
                <w:color w:val="auto"/>
                <w:szCs w:val="21"/>
                <w:lang w:val="en-US" w:eastAsia="zh-CN"/>
              </w:rPr>
              <w:t>2</w:t>
            </w:r>
            <w:r>
              <w:rPr>
                <w:rFonts w:hint="eastAsia" w:ascii="宋体" w:hAnsi="宋体"/>
                <w:color w:val="auto"/>
                <w:szCs w:val="21"/>
              </w:rPr>
              <w:t>分，市级造价管理协会颁发的先进单位得1分。本项满分</w:t>
            </w:r>
            <w:r>
              <w:rPr>
                <w:rFonts w:hint="eastAsia" w:ascii="宋体" w:hAnsi="宋体"/>
                <w:color w:val="auto"/>
                <w:szCs w:val="21"/>
                <w:lang w:val="en-US" w:eastAsia="zh-CN"/>
              </w:rPr>
              <w:t>4</w:t>
            </w:r>
            <w:r>
              <w:rPr>
                <w:rFonts w:hint="eastAsia" w:ascii="宋体" w:hAnsi="宋体"/>
                <w:color w:val="auto"/>
                <w:szCs w:val="21"/>
              </w:rPr>
              <w:t>分。</w:t>
            </w:r>
          </w:p>
          <w:p>
            <w:pPr>
              <w:autoSpaceDE w:val="0"/>
              <w:autoSpaceDN w:val="0"/>
              <w:adjustRightInd w:val="0"/>
              <w:snapToGrid w:val="0"/>
              <w:spacing w:before="120" w:beforeLines="50" w:line="360" w:lineRule="auto"/>
              <w:rPr>
                <w:rFonts w:hint="eastAsia" w:ascii="宋体" w:hAnsi="宋体" w:cs="宋体"/>
                <w:color w:val="auto"/>
                <w:kern w:val="0"/>
                <w:szCs w:val="21"/>
              </w:rPr>
            </w:pPr>
            <w:r>
              <w:rPr>
                <w:rFonts w:hint="eastAsia" w:ascii="宋体" w:hAnsi="宋体"/>
                <w:b/>
                <w:bCs/>
                <w:color w:val="auto"/>
                <w:szCs w:val="21"/>
              </w:rPr>
              <w:t>注：</w:t>
            </w:r>
            <w:r>
              <w:rPr>
                <w:rFonts w:hint="eastAsia" w:ascii="宋体" w:hAnsi="宋体"/>
                <w:b/>
                <w:bCs/>
                <w:color w:val="auto"/>
                <w:szCs w:val="21"/>
                <w:lang w:val="en-US" w:eastAsia="zh-CN"/>
              </w:rPr>
              <w:t>投标文件中</w:t>
            </w:r>
            <w:r>
              <w:rPr>
                <w:rFonts w:hint="eastAsia" w:ascii="宋体" w:hAnsi="宋体"/>
                <w:b/>
                <w:bCs/>
                <w:color w:val="auto"/>
                <w:szCs w:val="21"/>
              </w:rPr>
              <w:t>需提供证明文件、网络查询地址，评标过程中评委会通过投标人提供的网址进行查证。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6" w:hRule="atLeast"/>
          <w:jc w:val="center"/>
        </w:trPr>
        <w:tc>
          <w:tcPr>
            <w:tcW w:w="775" w:type="dxa"/>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154"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rPr>
              <w:t>项目负责人资格</w:t>
            </w:r>
          </w:p>
        </w:tc>
        <w:tc>
          <w:tcPr>
            <w:tcW w:w="735"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分</w:t>
            </w:r>
          </w:p>
        </w:tc>
        <w:tc>
          <w:tcPr>
            <w:tcW w:w="6794" w:type="dxa"/>
            <w:noWrap w:val="0"/>
            <w:vAlign w:val="center"/>
          </w:tcPr>
          <w:p>
            <w:pPr>
              <w:pStyle w:val="7"/>
              <w:tabs>
                <w:tab w:val="left" w:pos="710"/>
              </w:tabs>
              <w:spacing w:before="2" w:line="360" w:lineRule="auto"/>
              <w:ind w:left="108"/>
              <w:jc w:val="left"/>
              <w:rPr>
                <w:color w:val="auto"/>
                <w:szCs w:val="24"/>
                <w:lang w:val="en-US"/>
              </w:rPr>
            </w:pPr>
            <w:r>
              <w:rPr>
                <w:rFonts w:hint="eastAsia"/>
                <w:color w:val="auto"/>
                <w:spacing w:val="-4"/>
                <w:szCs w:val="24"/>
              </w:rPr>
              <w:t>（</w:t>
            </w:r>
            <w:r>
              <w:rPr>
                <w:rFonts w:hint="eastAsia"/>
                <w:color w:val="auto"/>
                <w:spacing w:val="-4"/>
                <w:szCs w:val="24"/>
                <w:lang w:val="en-US"/>
              </w:rPr>
              <w:t>1</w:t>
            </w:r>
            <w:r>
              <w:rPr>
                <w:rFonts w:hint="eastAsia"/>
                <w:color w:val="auto"/>
                <w:spacing w:val="-4"/>
                <w:szCs w:val="24"/>
              </w:rPr>
              <w:t>）项目负责人必须是</w:t>
            </w:r>
            <w:r>
              <w:rPr>
                <w:rFonts w:hint="eastAsia"/>
                <w:color w:val="auto"/>
                <w:spacing w:val="-4"/>
                <w:szCs w:val="24"/>
                <w:lang w:val="en-US"/>
              </w:rPr>
              <w:t>注册造价工程师，</w:t>
            </w:r>
            <w:r>
              <w:rPr>
                <w:rFonts w:hint="eastAsia"/>
                <w:color w:val="auto"/>
                <w:spacing w:val="-4"/>
                <w:szCs w:val="24"/>
              </w:rPr>
              <w:t xml:space="preserve">具备高级职称的得 </w:t>
            </w:r>
            <w:r>
              <w:rPr>
                <w:rFonts w:hint="eastAsia"/>
                <w:color w:val="auto"/>
                <w:spacing w:val="-4"/>
                <w:szCs w:val="24"/>
                <w:lang w:val="en-US" w:eastAsia="zh-CN"/>
              </w:rPr>
              <w:t>1</w:t>
            </w:r>
            <w:r>
              <w:rPr>
                <w:rFonts w:hint="eastAsia"/>
                <w:color w:val="auto"/>
                <w:spacing w:val="-20"/>
                <w:szCs w:val="24"/>
              </w:rPr>
              <w:t>分；近五年，</w:t>
            </w:r>
            <w:r>
              <w:rPr>
                <w:rFonts w:hint="eastAsia"/>
                <w:color w:val="auto"/>
                <w:spacing w:val="-20"/>
                <w:szCs w:val="24"/>
                <w:lang w:val="en-US"/>
              </w:rPr>
              <w:t>获得</w:t>
            </w:r>
            <w:r>
              <w:rPr>
                <w:rFonts w:hint="eastAsia"/>
                <w:color w:val="auto"/>
                <w:szCs w:val="24"/>
                <w:lang w:val="en-US"/>
              </w:rPr>
              <w:t>中国建设工程造价管理协会颁发的先进个人得</w:t>
            </w:r>
            <w:r>
              <w:rPr>
                <w:rFonts w:hint="eastAsia"/>
                <w:color w:val="auto"/>
                <w:szCs w:val="24"/>
                <w:lang w:val="en-US" w:eastAsia="zh-CN"/>
              </w:rPr>
              <w:t>1</w:t>
            </w:r>
            <w:r>
              <w:rPr>
                <w:rFonts w:hint="eastAsia"/>
                <w:color w:val="auto"/>
                <w:szCs w:val="24"/>
                <w:lang w:val="en-US"/>
              </w:rPr>
              <w:t>分，</w:t>
            </w:r>
            <w:r>
              <w:rPr>
                <w:rFonts w:hint="eastAsia"/>
                <w:color w:val="auto"/>
                <w:spacing w:val="-20"/>
                <w:szCs w:val="24"/>
                <w:lang w:val="en-US"/>
              </w:rPr>
              <w:t>获得过</w:t>
            </w:r>
            <w:r>
              <w:rPr>
                <w:rFonts w:hint="eastAsia"/>
                <w:color w:val="auto"/>
                <w:szCs w:val="24"/>
                <w:lang w:val="en-US"/>
              </w:rPr>
              <w:t>省级建设工程造价管理协会颁发的先进个人得1分。</w:t>
            </w:r>
            <w:r>
              <w:rPr>
                <w:rFonts w:hint="eastAsia"/>
                <w:color w:val="auto"/>
                <w:szCs w:val="24"/>
              </w:rPr>
              <w:t>本项</w:t>
            </w:r>
            <w:r>
              <w:rPr>
                <w:rFonts w:hint="eastAsia"/>
                <w:color w:val="auto"/>
                <w:szCs w:val="24"/>
                <w:lang w:val="en-US"/>
              </w:rPr>
              <w:t>最高得</w:t>
            </w:r>
            <w:r>
              <w:rPr>
                <w:rFonts w:hint="eastAsia"/>
                <w:color w:val="auto"/>
                <w:szCs w:val="24"/>
                <w:lang w:val="en-US" w:eastAsia="zh-CN"/>
              </w:rPr>
              <w:t>3</w:t>
            </w:r>
            <w:r>
              <w:rPr>
                <w:rFonts w:hint="eastAsia"/>
                <w:color w:val="auto"/>
                <w:szCs w:val="24"/>
                <w:lang w:val="en-US"/>
              </w:rPr>
              <w:t>分。</w:t>
            </w:r>
          </w:p>
          <w:p>
            <w:pPr>
              <w:pStyle w:val="7"/>
              <w:tabs>
                <w:tab w:val="left" w:pos="710"/>
              </w:tabs>
              <w:spacing w:before="160" w:line="360" w:lineRule="auto"/>
              <w:ind w:left="108"/>
              <w:jc w:val="left"/>
              <w:rPr>
                <w:rFonts w:hint="eastAsia"/>
                <w:color w:val="auto"/>
                <w:spacing w:val="-4"/>
                <w:szCs w:val="24"/>
                <w:lang w:val="en-US"/>
              </w:rPr>
            </w:pPr>
            <w:r>
              <w:rPr>
                <w:rFonts w:hint="eastAsia"/>
                <w:color w:val="auto"/>
                <w:spacing w:val="-4"/>
                <w:szCs w:val="24"/>
              </w:rPr>
              <w:t>（</w:t>
            </w:r>
            <w:r>
              <w:rPr>
                <w:rFonts w:hint="eastAsia"/>
                <w:color w:val="auto"/>
                <w:spacing w:val="-4"/>
                <w:szCs w:val="24"/>
                <w:lang w:val="en-US"/>
              </w:rPr>
              <w:t>2</w:t>
            </w:r>
            <w:r>
              <w:rPr>
                <w:rFonts w:hint="eastAsia"/>
                <w:color w:val="auto"/>
                <w:spacing w:val="-4"/>
                <w:szCs w:val="24"/>
              </w:rPr>
              <w:t>）项目负责人</w:t>
            </w:r>
            <w:r>
              <w:rPr>
                <w:rFonts w:hint="eastAsia"/>
                <w:color w:val="auto"/>
                <w:spacing w:val="-4"/>
                <w:szCs w:val="24"/>
                <w:lang w:val="en-US"/>
              </w:rPr>
              <w:t>从事造价咨询20年</w:t>
            </w:r>
            <w:r>
              <w:rPr>
                <w:rFonts w:hint="eastAsia"/>
                <w:color w:val="auto"/>
                <w:spacing w:val="-6"/>
                <w:szCs w:val="24"/>
              </w:rPr>
              <w:t>及以上的得</w:t>
            </w:r>
            <w:r>
              <w:rPr>
                <w:rFonts w:hint="eastAsia"/>
                <w:color w:val="auto"/>
                <w:spacing w:val="-6"/>
                <w:szCs w:val="24"/>
                <w:lang w:val="en-US" w:eastAsia="zh-CN"/>
              </w:rPr>
              <w:t>3</w:t>
            </w:r>
            <w:r>
              <w:rPr>
                <w:rFonts w:hint="eastAsia"/>
                <w:color w:val="auto"/>
                <w:spacing w:val="-30"/>
                <w:szCs w:val="24"/>
              </w:rPr>
              <w:t>分；</w:t>
            </w:r>
            <w:r>
              <w:rPr>
                <w:rFonts w:hint="eastAsia"/>
                <w:color w:val="auto"/>
                <w:spacing w:val="-4"/>
                <w:szCs w:val="24"/>
                <w:lang w:val="en-US"/>
              </w:rPr>
              <w:t>从事造价咨询20年</w:t>
            </w:r>
            <w:r>
              <w:rPr>
                <w:rFonts w:hint="eastAsia"/>
                <w:color w:val="auto"/>
                <w:spacing w:val="-6"/>
                <w:szCs w:val="24"/>
              </w:rPr>
              <w:t>以内，10年以上的得</w:t>
            </w:r>
            <w:r>
              <w:rPr>
                <w:rFonts w:hint="eastAsia"/>
                <w:color w:val="auto"/>
                <w:spacing w:val="-6"/>
                <w:szCs w:val="24"/>
                <w:lang w:val="en-US" w:eastAsia="zh-CN"/>
              </w:rPr>
              <w:t>2</w:t>
            </w:r>
            <w:r>
              <w:rPr>
                <w:rFonts w:hint="eastAsia"/>
                <w:color w:val="auto"/>
                <w:spacing w:val="-6"/>
                <w:szCs w:val="24"/>
              </w:rPr>
              <w:t>分；</w:t>
            </w:r>
            <w:r>
              <w:rPr>
                <w:rFonts w:hint="eastAsia"/>
                <w:color w:val="auto"/>
                <w:spacing w:val="-4"/>
                <w:szCs w:val="24"/>
                <w:lang w:val="en-US"/>
              </w:rPr>
              <w:t>从事造价咨询10年</w:t>
            </w:r>
            <w:r>
              <w:rPr>
                <w:rFonts w:hint="eastAsia"/>
                <w:color w:val="auto"/>
                <w:spacing w:val="-6"/>
                <w:szCs w:val="24"/>
              </w:rPr>
              <w:t>以内</w:t>
            </w:r>
            <w:r>
              <w:rPr>
                <w:rFonts w:hint="eastAsia"/>
                <w:color w:val="auto"/>
                <w:szCs w:val="24"/>
              </w:rPr>
              <w:t>的得</w:t>
            </w:r>
            <w:r>
              <w:rPr>
                <w:rFonts w:hint="eastAsia"/>
                <w:color w:val="auto"/>
                <w:szCs w:val="24"/>
                <w:lang w:val="en-US" w:eastAsia="zh-CN"/>
              </w:rPr>
              <w:t>1</w:t>
            </w:r>
            <w:r>
              <w:rPr>
                <w:rFonts w:hint="eastAsia"/>
                <w:color w:val="auto"/>
                <w:spacing w:val="-30"/>
                <w:szCs w:val="24"/>
              </w:rPr>
              <w:t>分</w:t>
            </w:r>
            <w:r>
              <w:rPr>
                <w:rFonts w:hint="eastAsia"/>
                <w:color w:val="auto"/>
                <w:spacing w:val="-4"/>
                <w:szCs w:val="24"/>
                <w:lang w:val="en-US"/>
              </w:rPr>
              <w:t>（以毕业证书为准）。</w:t>
            </w:r>
          </w:p>
          <w:p>
            <w:pPr>
              <w:pStyle w:val="7"/>
              <w:tabs>
                <w:tab w:val="left" w:pos="710"/>
              </w:tabs>
              <w:spacing w:before="160" w:line="360" w:lineRule="auto"/>
              <w:jc w:val="left"/>
              <w:rPr>
                <w:color w:val="auto"/>
                <w:szCs w:val="24"/>
              </w:rPr>
            </w:pPr>
            <w:r>
              <w:rPr>
                <w:rFonts w:hint="eastAsia"/>
                <w:color w:val="auto"/>
                <w:szCs w:val="24"/>
              </w:rPr>
              <w:t>（</w:t>
            </w:r>
            <w:r>
              <w:rPr>
                <w:rFonts w:hint="eastAsia"/>
                <w:color w:val="auto"/>
                <w:szCs w:val="24"/>
                <w:lang w:val="en-US"/>
              </w:rPr>
              <w:t>3</w:t>
            </w:r>
            <w:r>
              <w:rPr>
                <w:rFonts w:hint="eastAsia"/>
                <w:color w:val="auto"/>
                <w:szCs w:val="24"/>
              </w:rPr>
              <w:t>）</w:t>
            </w:r>
            <w:r>
              <w:rPr>
                <w:rFonts w:hint="eastAsia"/>
                <w:color w:val="auto"/>
                <w:szCs w:val="24"/>
                <w:lang w:val="en-US"/>
              </w:rPr>
              <w:t>取得造价师证书10年及以上得2分，10年以下的得</w:t>
            </w:r>
            <w:r>
              <w:rPr>
                <w:rFonts w:hint="eastAsia"/>
                <w:color w:val="auto"/>
                <w:szCs w:val="24"/>
                <w:lang w:val="en-US" w:eastAsia="zh-CN"/>
              </w:rPr>
              <w:t>1</w:t>
            </w:r>
            <w:r>
              <w:rPr>
                <w:rFonts w:hint="eastAsia"/>
                <w:color w:val="auto"/>
                <w:szCs w:val="24"/>
                <w:lang w:val="en-US"/>
              </w:rPr>
              <w:t>分</w:t>
            </w:r>
            <w:r>
              <w:rPr>
                <w:rFonts w:hint="eastAsia"/>
                <w:color w:val="auto"/>
                <w:szCs w:val="24"/>
              </w:rPr>
              <w:t>（以注册造价工程师初始注册日期开始计算</w:t>
            </w:r>
            <w:r>
              <w:rPr>
                <w:rFonts w:hint="eastAsia"/>
                <w:color w:val="auto"/>
                <w:spacing w:val="-120"/>
                <w:szCs w:val="24"/>
              </w:rPr>
              <w:t>）</w:t>
            </w:r>
          </w:p>
          <w:p>
            <w:pPr>
              <w:pStyle w:val="7"/>
              <w:tabs>
                <w:tab w:val="left" w:pos="710"/>
              </w:tabs>
              <w:spacing w:before="160" w:line="360" w:lineRule="auto"/>
              <w:ind w:left="108"/>
              <w:jc w:val="left"/>
              <w:rPr>
                <w:rFonts w:hint="eastAsia"/>
                <w:color w:val="auto"/>
                <w:szCs w:val="21"/>
              </w:rPr>
            </w:pPr>
            <w:r>
              <w:rPr>
                <w:rFonts w:hint="eastAsia"/>
                <w:b/>
                <w:color w:val="auto"/>
                <w:szCs w:val="24"/>
              </w:rPr>
              <w:t>注：投标文件中须提供项目负责人相关证书扫描件。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2" w:hRule="atLeast"/>
          <w:jc w:val="center"/>
        </w:trPr>
        <w:tc>
          <w:tcPr>
            <w:tcW w:w="775" w:type="dxa"/>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c>
          <w:tcPr>
            <w:tcW w:w="1154" w:type="dxa"/>
            <w:noWrap w:val="0"/>
            <w:vAlign w:val="center"/>
          </w:tcPr>
          <w:p>
            <w:pPr>
              <w:snapToGrid w:val="0"/>
              <w:spacing w:line="360" w:lineRule="auto"/>
              <w:rPr>
                <w:rFonts w:hint="eastAsia" w:ascii="宋体" w:hAnsi="宋体" w:cs="宋体"/>
                <w:color w:val="auto"/>
                <w:szCs w:val="21"/>
              </w:rPr>
            </w:pPr>
            <w:r>
              <w:rPr>
                <w:rFonts w:hint="eastAsia" w:ascii="宋体" w:hAnsi="宋体" w:cs="宋体"/>
                <w:color w:val="auto"/>
                <w:szCs w:val="21"/>
              </w:rPr>
              <w:t xml:space="preserve">投标人内部控制管理 </w:t>
            </w:r>
          </w:p>
        </w:tc>
        <w:tc>
          <w:tcPr>
            <w:tcW w:w="735"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分</w:t>
            </w:r>
          </w:p>
        </w:tc>
        <w:tc>
          <w:tcPr>
            <w:tcW w:w="6794" w:type="dxa"/>
            <w:noWrap w:val="0"/>
            <w:vAlign w:val="top"/>
          </w:tcPr>
          <w:p>
            <w:pPr>
              <w:pStyle w:val="7"/>
              <w:spacing w:line="360" w:lineRule="auto"/>
              <w:ind w:left="108"/>
              <w:rPr>
                <w:color w:val="auto"/>
              </w:rPr>
            </w:pPr>
            <w:r>
              <w:rPr>
                <w:color w:val="auto"/>
              </w:rPr>
              <w:t>综合比较投标人的内部管理制度</w:t>
            </w:r>
            <w:r>
              <w:rPr>
                <w:rFonts w:hint="eastAsia"/>
                <w:color w:val="auto"/>
              </w:rPr>
              <w:t>。</w:t>
            </w:r>
          </w:p>
          <w:p>
            <w:pPr>
              <w:pStyle w:val="7"/>
              <w:spacing w:before="4" w:line="360" w:lineRule="auto"/>
              <w:ind w:left="108" w:right="99"/>
              <w:rPr>
                <w:color w:val="auto"/>
              </w:rPr>
            </w:pPr>
            <w:r>
              <w:rPr>
                <w:color w:val="auto"/>
              </w:rPr>
              <w:t>内部管理制度</w:t>
            </w:r>
            <w:r>
              <w:rPr>
                <w:rFonts w:hint="eastAsia"/>
                <w:color w:val="auto"/>
              </w:rPr>
              <w:t>一般的得</w:t>
            </w:r>
            <w:r>
              <w:rPr>
                <w:rFonts w:hint="eastAsia"/>
                <w:color w:val="auto"/>
                <w:lang w:val="en-US" w:eastAsia="zh-CN"/>
              </w:rPr>
              <w:t>1</w:t>
            </w:r>
            <w:r>
              <w:rPr>
                <w:rFonts w:hint="eastAsia"/>
                <w:color w:val="auto"/>
              </w:rPr>
              <w:t>分。</w:t>
            </w:r>
          </w:p>
          <w:p>
            <w:pPr>
              <w:pStyle w:val="7"/>
              <w:spacing w:line="360" w:lineRule="auto"/>
              <w:ind w:left="108" w:right="107"/>
              <w:rPr>
                <w:color w:val="auto"/>
              </w:rPr>
            </w:pPr>
            <w:r>
              <w:rPr>
                <w:color w:val="auto"/>
              </w:rPr>
              <w:t>内部管理制度较全面、较</w:t>
            </w:r>
            <w:r>
              <w:rPr>
                <w:rFonts w:hint="eastAsia"/>
                <w:color w:val="auto"/>
              </w:rPr>
              <w:t>详细</w:t>
            </w:r>
            <w:r>
              <w:rPr>
                <w:rFonts w:hint="eastAsia"/>
                <w:color w:val="auto"/>
                <w:lang w:val="en-US"/>
              </w:rPr>
              <w:t>的</w:t>
            </w:r>
            <w:r>
              <w:rPr>
                <w:color w:val="auto"/>
              </w:rPr>
              <w:t>得</w:t>
            </w:r>
            <w:r>
              <w:rPr>
                <w:rFonts w:hint="eastAsia"/>
                <w:color w:val="auto"/>
                <w:lang w:val="en-US" w:eastAsia="zh-CN"/>
              </w:rPr>
              <w:t>3</w:t>
            </w:r>
            <w:r>
              <w:rPr>
                <w:color w:val="auto"/>
              </w:rPr>
              <w:t>分；</w:t>
            </w:r>
          </w:p>
          <w:p>
            <w:pPr>
              <w:pStyle w:val="7"/>
              <w:spacing w:before="4" w:line="360" w:lineRule="auto"/>
              <w:ind w:left="108" w:right="99"/>
              <w:rPr>
                <w:rFonts w:hint="eastAsia"/>
                <w:color w:val="auto"/>
                <w:szCs w:val="21"/>
                <w:lang w:val="en-US"/>
              </w:rPr>
            </w:pPr>
            <w:r>
              <w:rPr>
                <w:color w:val="auto"/>
              </w:rPr>
              <w:t>内部管理制度全面、</w:t>
            </w:r>
            <w:r>
              <w:rPr>
                <w:rFonts w:hint="eastAsia"/>
                <w:color w:val="auto"/>
              </w:rPr>
              <w:t>详细</w:t>
            </w:r>
            <w:r>
              <w:rPr>
                <w:color w:val="auto"/>
              </w:rPr>
              <w:t>的得</w:t>
            </w:r>
            <w:r>
              <w:rPr>
                <w:rFonts w:hint="eastAsia"/>
                <w:color w:val="auto"/>
                <w:lang w:val="en-US" w:eastAsia="zh-CN"/>
              </w:rPr>
              <w:t>4</w:t>
            </w:r>
            <w:r>
              <w:rPr>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2" w:hRule="atLeast"/>
          <w:jc w:val="center"/>
        </w:trPr>
        <w:tc>
          <w:tcPr>
            <w:tcW w:w="775" w:type="dxa"/>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1154" w:type="dxa"/>
            <w:noWrap w:val="0"/>
            <w:vAlign w:val="center"/>
          </w:tcPr>
          <w:p>
            <w:pPr>
              <w:snapToGrid w:val="0"/>
              <w:spacing w:line="360" w:lineRule="auto"/>
              <w:rPr>
                <w:rFonts w:hint="eastAsia" w:ascii="宋体" w:hAnsi="宋体" w:cs="宋体"/>
                <w:color w:val="auto"/>
                <w:szCs w:val="21"/>
              </w:rPr>
            </w:pPr>
            <w:r>
              <w:rPr>
                <w:rFonts w:hint="eastAsia" w:ascii="宋体" w:hAnsi="宋体" w:cs="宋体"/>
                <w:color w:val="auto"/>
                <w:szCs w:val="21"/>
              </w:rPr>
              <w:t>服务方案</w:t>
            </w:r>
          </w:p>
        </w:tc>
        <w:tc>
          <w:tcPr>
            <w:tcW w:w="735" w:type="dxa"/>
            <w:noWrap w:val="0"/>
            <w:vAlign w:val="center"/>
          </w:tcPr>
          <w:p>
            <w:pPr>
              <w:snapToGrid w:val="0"/>
              <w:spacing w:line="360" w:lineRule="auto"/>
              <w:jc w:val="center"/>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分</w:t>
            </w:r>
          </w:p>
        </w:tc>
        <w:tc>
          <w:tcPr>
            <w:tcW w:w="6794" w:type="dxa"/>
            <w:noWrap w:val="0"/>
            <w:vAlign w:val="center"/>
          </w:tcPr>
          <w:p>
            <w:pPr>
              <w:pStyle w:val="7"/>
              <w:numPr>
                <w:ilvl w:val="0"/>
                <w:numId w:val="2"/>
              </w:numPr>
              <w:spacing w:line="360" w:lineRule="auto"/>
              <w:ind w:left="108" w:right="107"/>
              <w:rPr>
                <w:color w:val="auto"/>
                <w:lang w:val="en-US"/>
              </w:rPr>
            </w:pPr>
            <w:r>
              <w:rPr>
                <w:rFonts w:hint="eastAsia"/>
                <w:color w:val="auto"/>
                <w:lang w:val="en-US"/>
              </w:rPr>
              <w:t>服务方案（内容完整、方案合理、可操作性）</w:t>
            </w:r>
            <w:r>
              <w:rPr>
                <w:rFonts w:hint="eastAsia"/>
                <w:color w:val="auto"/>
                <w:lang w:val="en-US" w:eastAsia="zh-CN"/>
              </w:rPr>
              <w:t>2</w:t>
            </w:r>
            <w:r>
              <w:rPr>
                <w:rFonts w:hint="eastAsia"/>
                <w:color w:val="auto"/>
                <w:lang w:val="en-US"/>
              </w:rPr>
              <w:t>分。一般的得1分，优秀的得</w:t>
            </w:r>
            <w:r>
              <w:rPr>
                <w:rFonts w:hint="eastAsia"/>
                <w:color w:val="auto"/>
                <w:lang w:val="en-US" w:eastAsia="zh-CN"/>
              </w:rPr>
              <w:t>2</w:t>
            </w:r>
            <w:r>
              <w:rPr>
                <w:rFonts w:hint="eastAsia"/>
                <w:color w:val="auto"/>
                <w:lang w:val="en-US"/>
              </w:rPr>
              <w:t>分。</w:t>
            </w:r>
          </w:p>
          <w:p>
            <w:pPr>
              <w:pStyle w:val="7"/>
              <w:numPr>
                <w:ilvl w:val="0"/>
                <w:numId w:val="2"/>
              </w:numPr>
              <w:spacing w:line="360" w:lineRule="auto"/>
              <w:ind w:left="108" w:right="107"/>
              <w:rPr>
                <w:rFonts w:hint="eastAsia"/>
                <w:color w:val="auto"/>
                <w:szCs w:val="21"/>
                <w:lang w:val="en-US"/>
              </w:rPr>
            </w:pPr>
            <w:r>
              <w:rPr>
                <w:rFonts w:hint="eastAsia"/>
                <w:color w:val="auto"/>
                <w:lang w:val="en-US"/>
              </w:rPr>
              <w:t>编制服务的承诺。至少包括：组织保证、预算编制时限、误差率控制等。一般的得1分，优秀的得</w:t>
            </w:r>
            <w:r>
              <w:rPr>
                <w:rFonts w:hint="eastAsia"/>
                <w:color w:val="auto"/>
                <w:lang w:val="en-US" w:eastAsia="zh-CN"/>
              </w:rPr>
              <w:t>2</w:t>
            </w:r>
            <w:r>
              <w:rPr>
                <w:rFonts w:hint="eastAsia"/>
                <w:color w:val="auto"/>
                <w:lang w:val="en-US"/>
              </w:rPr>
              <w:t>分。</w:t>
            </w:r>
          </w:p>
        </w:tc>
      </w:tr>
    </w:tbl>
    <w:p>
      <w:pPr>
        <w:tabs>
          <w:tab w:val="left" w:pos="0"/>
        </w:tabs>
        <w:adjustRightInd w:val="0"/>
        <w:snapToGrid w:val="0"/>
        <w:spacing w:line="400" w:lineRule="exact"/>
        <w:jc w:val="center"/>
        <w:rPr>
          <w:rFonts w:hint="eastAsia" w:ascii="宋体" w:hAnsi="宋体"/>
          <w:b/>
          <w:color w:val="auto"/>
          <w:sz w:val="24"/>
          <w:szCs w:val="24"/>
        </w:rPr>
      </w:pPr>
    </w:p>
    <w:p>
      <w:pPr>
        <w:tabs>
          <w:tab w:val="left" w:pos="0"/>
        </w:tabs>
        <w:adjustRightInd w:val="0"/>
        <w:snapToGrid w:val="0"/>
        <w:spacing w:line="400" w:lineRule="exact"/>
        <w:jc w:val="center"/>
        <w:rPr>
          <w:rFonts w:hint="eastAsia" w:ascii="宋体" w:hAnsi="宋体"/>
          <w:b/>
          <w:color w:val="auto"/>
          <w:sz w:val="24"/>
          <w:szCs w:val="24"/>
        </w:rPr>
      </w:pPr>
    </w:p>
    <w:p>
      <w:pPr>
        <w:pStyle w:val="2"/>
        <w:rPr>
          <w:rFonts w:hint="eastAsia" w:ascii="宋体" w:hAnsi="宋体"/>
          <w:b/>
          <w:color w:val="auto"/>
          <w:sz w:val="24"/>
          <w:szCs w:val="24"/>
        </w:rPr>
      </w:pPr>
    </w:p>
    <w:p>
      <w:pPr>
        <w:pStyle w:val="2"/>
        <w:rPr>
          <w:rFonts w:hint="eastAsia" w:ascii="宋体" w:hAnsi="宋体"/>
          <w:b/>
          <w:color w:val="auto"/>
          <w:sz w:val="24"/>
          <w:szCs w:val="24"/>
        </w:rPr>
      </w:pPr>
    </w:p>
    <w:p>
      <w:pPr>
        <w:pStyle w:val="2"/>
        <w:rPr>
          <w:rFonts w:hint="eastAsia" w:ascii="宋体" w:hAnsi="宋体"/>
          <w:b/>
          <w:color w:val="auto"/>
          <w:sz w:val="24"/>
          <w:szCs w:val="24"/>
        </w:rPr>
      </w:pPr>
    </w:p>
    <w:p>
      <w:pPr>
        <w:pStyle w:val="2"/>
        <w:rPr>
          <w:rFonts w:hint="eastAsia" w:ascii="宋体" w:hAnsi="宋体"/>
          <w:b/>
          <w:color w:val="auto"/>
          <w:sz w:val="24"/>
          <w:szCs w:val="24"/>
        </w:rPr>
      </w:pPr>
    </w:p>
    <w:p>
      <w:pPr>
        <w:tabs>
          <w:tab w:val="left" w:pos="0"/>
        </w:tabs>
        <w:adjustRightInd w:val="0"/>
        <w:snapToGrid w:val="0"/>
        <w:spacing w:line="400" w:lineRule="exact"/>
        <w:jc w:val="center"/>
        <w:rPr>
          <w:rFonts w:hint="eastAsia" w:ascii="宋体" w:hAnsi="宋体"/>
          <w:b/>
          <w:color w:val="auto"/>
          <w:sz w:val="24"/>
          <w:szCs w:val="24"/>
        </w:rPr>
      </w:pPr>
    </w:p>
    <w:p>
      <w:pPr>
        <w:tabs>
          <w:tab w:val="left" w:pos="0"/>
        </w:tabs>
        <w:adjustRightInd w:val="0"/>
        <w:snapToGrid w:val="0"/>
        <w:spacing w:line="400" w:lineRule="exact"/>
        <w:jc w:val="center"/>
        <w:rPr>
          <w:rFonts w:hint="eastAsia" w:ascii="宋体" w:hAnsi="宋体"/>
          <w:b/>
          <w:color w:val="auto"/>
          <w:sz w:val="24"/>
          <w:szCs w:val="24"/>
        </w:rPr>
      </w:pPr>
    </w:p>
    <w:p>
      <w:pPr>
        <w:tabs>
          <w:tab w:val="left" w:pos="0"/>
        </w:tabs>
        <w:adjustRightInd w:val="0"/>
        <w:snapToGrid w:val="0"/>
        <w:spacing w:line="400" w:lineRule="exact"/>
        <w:jc w:val="center"/>
        <w:rPr>
          <w:rFonts w:hint="eastAsia" w:ascii="宋体" w:hAnsi="宋体"/>
          <w:b/>
          <w:color w:val="auto"/>
          <w:sz w:val="24"/>
          <w:szCs w:val="24"/>
        </w:rPr>
      </w:pPr>
    </w:p>
    <w:p>
      <w:pPr>
        <w:tabs>
          <w:tab w:val="left" w:pos="0"/>
        </w:tabs>
        <w:adjustRightInd w:val="0"/>
        <w:snapToGrid w:val="0"/>
        <w:spacing w:line="400" w:lineRule="exact"/>
        <w:jc w:val="center"/>
        <w:rPr>
          <w:rFonts w:hint="eastAsia" w:ascii="宋体" w:hAnsi="宋体"/>
          <w:b/>
          <w:color w:val="auto"/>
          <w:sz w:val="24"/>
          <w:szCs w:val="24"/>
        </w:rPr>
      </w:pPr>
    </w:p>
    <w:p>
      <w:pPr>
        <w:pStyle w:val="2"/>
        <w:rPr>
          <w:rFonts w:hint="eastAsia" w:ascii="宋体" w:hAnsi="宋体"/>
          <w:b/>
          <w:color w:val="auto"/>
          <w:sz w:val="24"/>
          <w:szCs w:val="24"/>
        </w:rPr>
      </w:pPr>
    </w:p>
    <w:p>
      <w:pPr>
        <w:pStyle w:val="2"/>
        <w:rPr>
          <w:rFonts w:hint="eastAsia" w:ascii="宋体" w:hAnsi="宋体"/>
          <w:b/>
          <w:color w:val="auto"/>
          <w:sz w:val="24"/>
          <w:szCs w:val="24"/>
        </w:rPr>
      </w:pPr>
    </w:p>
    <w:p>
      <w:pPr>
        <w:pStyle w:val="2"/>
        <w:rPr>
          <w:rFonts w:hint="eastAsia" w:ascii="宋体" w:hAnsi="宋体"/>
          <w:b/>
          <w:color w:val="auto"/>
          <w:sz w:val="24"/>
          <w:szCs w:val="24"/>
        </w:rPr>
      </w:pPr>
    </w:p>
    <w:p/>
    <w:p>
      <w:pPr>
        <w:tabs>
          <w:tab w:val="left" w:pos="0"/>
        </w:tabs>
        <w:adjustRightInd w:val="0"/>
        <w:snapToGrid w:val="0"/>
        <w:spacing w:line="400" w:lineRule="exact"/>
        <w:jc w:val="center"/>
        <w:rPr>
          <w:rFonts w:hint="eastAsia" w:ascii="宋体" w:hAnsi="宋体"/>
          <w:b/>
          <w:color w:val="auto"/>
          <w:sz w:val="24"/>
          <w:szCs w:val="24"/>
        </w:rPr>
      </w:pPr>
    </w:p>
    <w:p>
      <w:pPr>
        <w:tabs>
          <w:tab w:val="left" w:pos="0"/>
        </w:tabs>
        <w:adjustRightInd w:val="0"/>
        <w:snapToGrid w:val="0"/>
        <w:spacing w:line="400" w:lineRule="exact"/>
        <w:jc w:val="center"/>
        <w:rPr>
          <w:rFonts w:ascii="宋体" w:hAnsi="宋体"/>
          <w:b/>
          <w:color w:val="auto"/>
          <w:sz w:val="24"/>
          <w:szCs w:val="24"/>
        </w:rPr>
      </w:pPr>
      <w:r>
        <w:rPr>
          <w:rFonts w:hint="eastAsia" w:ascii="宋体" w:hAnsi="宋体"/>
          <w:b/>
          <w:color w:val="auto"/>
          <w:sz w:val="24"/>
          <w:szCs w:val="24"/>
        </w:rPr>
        <w:t>投标报价评分表（满分</w:t>
      </w:r>
      <w:r>
        <w:rPr>
          <w:rFonts w:hint="eastAsia" w:ascii="宋体" w:hAnsi="宋体"/>
          <w:b/>
          <w:color w:val="auto"/>
          <w:sz w:val="24"/>
          <w:szCs w:val="24"/>
          <w:lang w:val="en-US" w:eastAsia="zh-CN"/>
        </w:rPr>
        <w:t>60</w:t>
      </w:r>
      <w:r>
        <w:rPr>
          <w:rFonts w:hint="eastAsia" w:ascii="宋体" w:hAnsi="宋体"/>
          <w:b/>
          <w:color w:val="auto"/>
          <w:sz w:val="24"/>
          <w:szCs w:val="24"/>
        </w:rPr>
        <w:t>分）</w:t>
      </w:r>
    </w:p>
    <w:tbl>
      <w:tblPr>
        <w:tblStyle w:val="6"/>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664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39" w:type="dxa"/>
            <w:tcBorders>
              <w:top w:val="single" w:color="auto" w:sz="4" w:space="0"/>
              <w:left w:val="single" w:color="auto" w:sz="4" w:space="0"/>
              <w:bottom w:val="single" w:color="auto" w:sz="4" w:space="0"/>
              <w:right w:val="single" w:color="auto" w:sz="4" w:space="0"/>
            </w:tcBorders>
            <w:noWrap w:val="0"/>
            <w:vAlign w:val="center"/>
          </w:tcPr>
          <w:p>
            <w:pPr>
              <w:pStyle w:val="3"/>
              <w:ind w:right="-10" w:firstLine="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指标</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pStyle w:val="3"/>
              <w:ind w:right="-10" w:firstLine="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指标描述</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pStyle w:val="3"/>
              <w:ind w:right="-10" w:firstLine="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9" w:hRule="atLeast"/>
        </w:trPr>
        <w:tc>
          <w:tcPr>
            <w:tcW w:w="1439"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right="-1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w:t>
            </w:r>
          </w:p>
          <w:p>
            <w:pPr>
              <w:pStyle w:val="3"/>
              <w:spacing w:line="360" w:lineRule="auto"/>
              <w:ind w:right="-1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得分</w:t>
            </w:r>
          </w:p>
          <w:p>
            <w:pPr>
              <w:pStyle w:val="3"/>
              <w:spacing w:line="360" w:lineRule="auto"/>
              <w:ind w:right="-1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（60分）</w:t>
            </w:r>
          </w:p>
        </w:tc>
        <w:tc>
          <w:tcPr>
            <w:tcW w:w="6640" w:type="dxa"/>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3"/>
              </w:numPr>
              <w:spacing w:line="360" w:lineRule="auto"/>
              <w:ind w:right="-10" w:firstLine="422" w:firstLineChars="200"/>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有效投标报价</w:t>
            </w:r>
          </w:p>
          <w:p>
            <w:pPr>
              <w:pStyle w:val="3"/>
              <w:spacing w:line="360" w:lineRule="auto"/>
              <w:ind w:right="-10" w:firstLine="420" w:firstLineChars="200"/>
              <w:rPr>
                <w:rFonts w:ascii="宋体" w:hAnsi="宋体" w:eastAsia="宋体"/>
                <w:color w:val="auto"/>
                <w:sz w:val="21"/>
                <w:szCs w:val="21"/>
                <w:lang w:val="en-US" w:eastAsia="zh-CN"/>
              </w:rPr>
            </w:pPr>
            <w:r>
              <w:rPr>
                <w:rFonts w:hint="eastAsia" w:ascii="宋体" w:hAnsi="宋体" w:eastAsia="宋体"/>
                <w:color w:val="auto"/>
                <w:sz w:val="21"/>
                <w:szCs w:val="21"/>
                <w:lang w:val="en-US" w:eastAsia="zh-CN"/>
              </w:rPr>
              <w:t>各投标人充分考虑市场行情、自身成本、工程情况及本次招标内容的基础上报价并结合企业自身情况自报费率An（%），投标人按皖价服[2007]86号文件规定报价。否则，其投标按无效标处理（投标人所报投标费率无论任何情况出现均不予调整）。</w:t>
            </w:r>
          </w:p>
          <w:p>
            <w:pPr>
              <w:pStyle w:val="3"/>
              <w:spacing w:line="360" w:lineRule="auto"/>
              <w:ind w:right="-10" w:firstLine="420" w:firstLineChars="200"/>
              <w:rPr>
                <w:rFonts w:ascii="宋体" w:hAnsi="宋体" w:eastAsia="宋体"/>
                <w:b/>
                <w:color w:val="auto"/>
                <w:sz w:val="21"/>
                <w:szCs w:val="21"/>
                <w:lang w:val="en-US" w:eastAsia="zh-CN"/>
              </w:rPr>
            </w:pPr>
            <w:r>
              <w:rPr>
                <w:rFonts w:hint="eastAsia" w:ascii="宋体" w:hAnsi="宋体" w:eastAsia="宋体"/>
                <w:bCs/>
                <w:color w:val="auto"/>
                <w:sz w:val="21"/>
                <w:szCs w:val="21"/>
                <w:lang w:val="en-US" w:eastAsia="zh-CN"/>
              </w:rPr>
              <w:t>2</w:t>
            </w:r>
            <w:r>
              <w:rPr>
                <w:rFonts w:hint="eastAsia" w:ascii="宋体" w:hAnsi="宋体" w:eastAsia="宋体"/>
                <w:b/>
                <w:color w:val="auto"/>
                <w:sz w:val="21"/>
                <w:szCs w:val="21"/>
                <w:lang w:val="en-US" w:eastAsia="zh-CN"/>
              </w:rPr>
              <w:t>.计算评标基准值B%</w:t>
            </w:r>
          </w:p>
          <w:p>
            <w:pPr>
              <w:pStyle w:val="3"/>
              <w:spacing w:line="360" w:lineRule="auto"/>
              <w:ind w:right="-10" w:firstLine="420" w:firstLineChars="200"/>
              <w:rPr>
                <w:rFonts w:ascii="宋体" w:hAnsi="宋体" w:eastAsia="宋体"/>
                <w:color w:val="auto"/>
                <w:sz w:val="21"/>
                <w:szCs w:val="21"/>
                <w:lang w:val="en-US" w:eastAsia="zh-CN"/>
              </w:rPr>
            </w:pPr>
            <w:r>
              <w:rPr>
                <w:rFonts w:hint="eastAsia" w:ascii="宋体" w:hAnsi="宋体" w:eastAsia="宋体"/>
                <w:bCs/>
                <w:color w:val="auto"/>
                <w:sz w:val="21"/>
                <w:szCs w:val="21"/>
                <w:lang w:val="en-US" w:eastAsia="zh-CN"/>
              </w:rPr>
              <w:t>取所有有效投标人投标报价的算术平均值为评标基准值B%（百分号前面保留两位有效数字，第三位四舍五入）；</w:t>
            </w:r>
          </w:p>
          <w:p>
            <w:pPr>
              <w:adjustRightInd w:val="0"/>
              <w:spacing w:line="360" w:lineRule="auto"/>
              <w:ind w:firstLine="420" w:firstLineChars="200"/>
              <w:jc w:val="left"/>
              <w:rPr>
                <w:rFonts w:ascii="宋体" w:hAnsi="宋体"/>
                <w:b/>
                <w:bCs/>
                <w:color w:val="auto"/>
                <w:szCs w:val="21"/>
              </w:rPr>
            </w:pPr>
            <w:r>
              <w:rPr>
                <w:rFonts w:hint="eastAsia" w:ascii="宋体" w:hAnsi="宋体"/>
                <w:color w:val="auto"/>
                <w:szCs w:val="21"/>
              </w:rPr>
              <w:t>3.</w:t>
            </w:r>
            <w:r>
              <w:rPr>
                <w:rFonts w:hint="eastAsia" w:ascii="宋体" w:hAnsi="宋体"/>
                <w:b/>
                <w:bCs/>
                <w:color w:val="auto"/>
                <w:szCs w:val="21"/>
              </w:rPr>
              <w:t>投标人报价得分计算方法</w:t>
            </w:r>
          </w:p>
          <w:p>
            <w:pPr>
              <w:adjustRightInd w:val="0"/>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color w:val="auto"/>
                <w:szCs w:val="21"/>
              </w:rPr>
              <w:t>投标报价费率等于评标基准值B%的得满分</w:t>
            </w:r>
            <w:r>
              <w:rPr>
                <w:rFonts w:hint="eastAsia" w:ascii="宋体" w:hAnsi="宋体"/>
                <w:color w:val="auto"/>
                <w:szCs w:val="21"/>
                <w:lang w:val="en-US" w:eastAsia="zh-CN"/>
              </w:rPr>
              <w:t>60</w:t>
            </w:r>
            <w:r>
              <w:rPr>
                <w:rFonts w:hint="eastAsia" w:ascii="宋体" w:hAnsi="宋体"/>
                <w:color w:val="auto"/>
                <w:szCs w:val="21"/>
              </w:rPr>
              <w:t>分；费率每高于评标基准值1%的扣0.5分；费率每低于评标基准值1%的扣0.3分；不足1%的，按照插入法计算得分（报价得分保留小数点后2位数字，第3位四舍五入）。</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right="-1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60分</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1D425"/>
    <w:multiLevelType w:val="singleLevel"/>
    <w:tmpl w:val="9A91D425"/>
    <w:lvl w:ilvl="0" w:tentative="0">
      <w:start w:val="1"/>
      <w:numFmt w:val="decimal"/>
      <w:lvlText w:val="%1."/>
      <w:lvlJc w:val="left"/>
      <w:pPr>
        <w:tabs>
          <w:tab w:val="left" w:pos="312"/>
        </w:tabs>
      </w:pPr>
    </w:lvl>
  </w:abstractNum>
  <w:abstractNum w:abstractNumId="1">
    <w:nsid w:val="310B00B2"/>
    <w:multiLevelType w:val="singleLevel"/>
    <w:tmpl w:val="310B00B2"/>
    <w:lvl w:ilvl="0" w:tentative="0">
      <w:start w:val="3"/>
      <w:numFmt w:val="decimal"/>
      <w:suff w:val="nothing"/>
      <w:lvlText w:val="%1）"/>
      <w:lvlJc w:val="left"/>
    </w:lvl>
  </w:abstractNum>
  <w:abstractNum w:abstractNumId="2">
    <w:nsid w:val="3F54EEE9"/>
    <w:multiLevelType w:val="singleLevel"/>
    <w:tmpl w:val="3F54EEE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83EBB"/>
    <w:rsid w:val="2D013F1E"/>
    <w:rsid w:val="3C48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unhideWhenUsed/>
    <w:qFormat/>
    <w:uiPriority w:val="99"/>
    <w:pPr>
      <w:snapToGrid w:val="0"/>
      <w:spacing w:line="360" w:lineRule="auto"/>
      <w:ind w:firstLine="200" w:firstLineChars="200"/>
    </w:pPr>
    <w:rPr>
      <w:rFonts w:ascii="Arial" w:hAnsi="Arial" w:cs="Arial"/>
      <w:szCs w:val="20"/>
    </w:rPr>
  </w:style>
  <w:style w:type="paragraph" w:customStyle="1" w:styleId="7">
    <w:name w:val="Table Paragraph"/>
    <w:basedOn w:val="1"/>
    <w:qFormat/>
    <w:uiPriority w:val="1"/>
    <w:rPr>
      <w:rFonts w:ascii="宋体" w:hAnsi="宋体" w:eastAsia="宋体" w:cs="宋体"/>
      <w:lang w:val="zh-CN" w:eastAsia="zh-CN" w:bidi="zh-CN"/>
    </w:rPr>
  </w:style>
  <w:style w:type="paragraph" w:customStyle="1" w:styleId="8">
    <w:name w:val="列出段落"/>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2019-03-05T09:15:00Z</dcterms:created>
  <dc:creator>后勤 盛飞</dc:creator>
  <cp:lastModifiedBy>后勤 盛飞</cp:lastModifiedBy>
  <dcterms:modified xsi:type="dcterms:W3CDTF">2019-03-05T09:29:36Z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