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lang w:eastAsia="zh-CN"/>
        </w:rPr>
        <w:t>三、附件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安徽省中西医结合医院棉门帘报价表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81"/>
        <w:gridCol w:w="1031"/>
        <w:gridCol w:w="1406"/>
        <w:gridCol w:w="1406"/>
        <w:gridCol w:w="1406"/>
        <w:gridCol w:w="1406"/>
        <w:gridCol w:w="1406"/>
        <w:gridCol w:w="1406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安装区域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门帘材质及要求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高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宽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片数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片宽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门诊大厅北门</w:t>
            </w:r>
          </w:p>
        </w:tc>
        <w:tc>
          <w:tcPr>
            <w:tcW w:w="1781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表面特级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PU料，中间用牛津纺布包裹。PU料要求 1、耐低温-60度以上，耐高温200度以下，抗折性6.2万次无开裂，耐水解，不褪色；易清洁保养，剥离强度为：6.0kg/3cm，质保三年（第一年出现产品问题免费换新门帘，三年保修，终身维护），龙骨采用铝合金材质厚度3.5毫米，门帘厚度20MM±2mm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3.9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20.8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门诊大厅东门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1.75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门诊大厅西门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急诊东南门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2.77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2.15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11.08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急诊西南门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2.7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10.8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1#住院部1层北门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1.9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2#住院部一层北门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2.27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1.95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9.08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2#住院部一层西门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8.8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影像中心北门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2.87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4.3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25.83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骨一科西门</w:t>
            </w: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2.13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2.15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0.66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8.52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龙骨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24.1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24.1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12656" w:type="dxa"/>
            <w:gridSpan w:val="9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开具孔洞及安装材料费用均已包括，请投投标人谨慎注意报价。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相关安装活动须经招标同意后实施。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B8F4"/>
    <w:multiLevelType w:val="singleLevel"/>
    <w:tmpl w:val="52CAB8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85927"/>
    <w:rsid w:val="06F85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2018-12-18T00:53:00Z</dcterms:created>
  <dc:creator>后勤 盛飞</dc:creator>
  <cp:lastModifiedBy>后勤 盛飞</cp:lastModifiedBy>
  <dcterms:modified xsi:type="dcterms:W3CDTF">2018-12-18T00:54:19Z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