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第一章 评标方法</w:t>
      </w:r>
      <w:r>
        <w:rPr>
          <w:w w:val="99"/>
        </w:rPr>
        <w:t xml:space="preserve"> </w:t>
      </w:r>
    </w:p>
    <w:p>
      <w:pPr>
        <w:pStyle w:val="4"/>
        <w:spacing w:before="54" w:line="280" w:lineRule="auto"/>
        <w:ind w:right="260" w:firstLine="419"/>
        <w:jc w:val="both"/>
        <w:rPr>
          <w:rFonts w:ascii="Times New Roman" w:eastAsia="Times New Roman"/>
        </w:rPr>
      </w:pPr>
      <w:r>
        <w:rPr>
          <w:spacing w:val="-8"/>
        </w:rPr>
        <w:t>综合评分法：即评标委员会根据招标文件的要求，对通过招标文件初审和详细审查</w:t>
      </w:r>
      <w:r>
        <w:rPr>
          <w:spacing w:val="-11"/>
        </w:rPr>
        <w:t>的投标人的商务分、技术分进行综合评审后，选择能最大限度地满足招标文件规定的各项综合评价标准，以商务分和技术分之和由高到低的顺序，向招标人推荐一至三名有排</w:t>
      </w:r>
      <w:r>
        <w:rPr>
          <w:spacing w:val="-10"/>
        </w:rPr>
        <w:t>序的合格的中标候选人，若出现总得分相同的情况，确定技术得分最高的投标人为中标</w:t>
      </w:r>
      <w:r>
        <w:rPr>
          <w:spacing w:val="-4"/>
        </w:rPr>
        <w:t>人，若出现商务和技术得分均相同的情况，由评标委员会投票决定中标人。</w:t>
      </w:r>
      <w:r>
        <w:t xml:space="preserve">（满分 </w:t>
      </w:r>
      <w:r>
        <w:rPr>
          <w:rFonts w:ascii="Times New Roman" w:eastAsia="Times New Roman"/>
          <w:spacing w:val="-4"/>
        </w:rPr>
        <w:t>100</w:t>
      </w:r>
    </w:p>
    <w:p>
      <w:pPr>
        <w:pStyle w:val="4"/>
        <w:spacing w:before="1"/>
      </w:pPr>
      <w:r>
        <w:t xml:space="preserve">分，计算过程和结果均保留 </w:t>
      </w:r>
      <w:r>
        <w:rPr>
          <w:rFonts w:ascii="Times New Roman" w:eastAsia="Times New Roman"/>
        </w:rPr>
        <w:t xml:space="preserve">2 </w:t>
      </w:r>
      <w:r>
        <w:t xml:space="preserve">位小数，第 </w:t>
      </w:r>
      <w:r>
        <w:rPr>
          <w:rFonts w:ascii="Times New Roman" w:eastAsia="Times New Roman"/>
        </w:rPr>
        <w:t xml:space="preserve">3 </w:t>
      </w:r>
      <w:r>
        <w:t>位四舍五入。）</w:t>
      </w:r>
    </w:p>
    <w:p>
      <w:pPr>
        <w:pStyle w:val="4"/>
        <w:spacing w:before="6"/>
        <w:ind w:left="0"/>
        <w:rPr>
          <w:sz w:val="28"/>
        </w:rPr>
      </w:pPr>
    </w:p>
    <w:tbl>
      <w:tblPr>
        <w:tblStyle w:val="7"/>
        <w:tblW w:w="8762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816"/>
        <w:gridCol w:w="6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</w:tcPr>
          <w:p>
            <w:pPr>
              <w:pStyle w:val="10"/>
              <w:spacing w:line="292" w:lineRule="exact"/>
              <w:ind w:left="23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评分项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16" w:type="dxa"/>
          </w:tcPr>
          <w:p>
            <w:pPr>
              <w:pStyle w:val="10"/>
              <w:spacing w:line="29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6102" w:type="dxa"/>
          </w:tcPr>
          <w:p>
            <w:pPr>
              <w:pStyle w:val="10"/>
              <w:spacing w:line="292" w:lineRule="exact"/>
              <w:ind w:left="2608" w:right="2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评分细则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762" w:type="dxa"/>
            <w:gridSpan w:val="3"/>
          </w:tcPr>
          <w:p>
            <w:pPr>
              <w:pStyle w:val="10"/>
              <w:spacing w:line="289" w:lineRule="exact"/>
              <w:rPr>
                <w:sz w:val="24"/>
              </w:rPr>
            </w:pPr>
            <w:r>
              <w:rPr>
                <w:b/>
                <w:sz w:val="24"/>
              </w:rPr>
              <w:t>一、商务分（30 分）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844" w:type="dxa"/>
          </w:tcPr>
          <w:p>
            <w:pPr>
              <w:pStyle w:val="10"/>
              <w:ind w:left="0"/>
              <w:rPr>
                <w:sz w:val="24"/>
              </w:rPr>
            </w:pPr>
          </w:p>
          <w:p>
            <w:pPr>
              <w:pStyle w:val="10"/>
              <w:ind w:left="0"/>
              <w:rPr>
                <w:sz w:val="24"/>
              </w:rPr>
            </w:pPr>
          </w:p>
          <w:p>
            <w:pPr>
              <w:pStyle w:val="10"/>
              <w:spacing w:before="165"/>
              <w:ind w:left="240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价格分 </w:t>
            </w:r>
          </w:p>
        </w:tc>
        <w:tc>
          <w:tcPr>
            <w:tcW w:w="816" w:type="dxa"/>
          </w:tcPr>
          <w:p>
            <w:pPr>
              <w:pStyle w:val="10"/>
              <w:ind w:left="0"/>
              <w:rPr>
                <w:sz w:val="24"/>
              </w:rPr>
            </w:pPr>
          </w:p>
          <w:p>
            <w:pPr>
              <w:pStyle w:val="10"/>
              <w:ind w:left="0"/>
              <w:rPr>
                <w:sz w:val="24"/>
              </w:rPr>
            </w:pPr>
          </w:p>
          <w:p>
            <w:pPr>
              <w:pStyle w:val="10"/>
              <w:spacing w:before="16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30 分 </w:t>
            </w:r>
          </w:p>
        </w:tc>
        <w:tc>
          <w:tcPr>
            <w:tcW w:w="6102" w:type="dxa"/>
          </w:tcPr>
          <w:p>
            <w:pPr>
              <w:pStyle w:val="10"/>
              <w:spacing w:before="2" w:line="242" w:lineRule="auto"/>
              <w:ind w:right="9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投标人有效报价的算术平均值作为评标基准价 </w:t>
            </w:r>
            <w:r>
              <w:rPr>
                <w:spacing w:val="-28"/>
                <w:sz w:val="24"/>
              </w:rPr>
              <w:t>B</w:t>
            </w:r>
            <w:r>
              <w:rPr>
                <w:spacing w:val="-12"/>
                <w:sz w:val="24"/>
              </w:rPr>
              <w:t>；当投标</w:t>
            </w:r>
            <w:r>
              <w:rPr>
                <w:sz w:val="24"/>
              </w:rPr>
              <w:t>报价(Sn)</w:t>
            </w:r>
            <w:r>
              <w:rPr>
                <w:spacing w:val="-8"/>
                <w:sz w:val="24"/>
              </w:rPr>
              <w:t xml:space="preserve">等于评标基准价 </w:t>
            </w:r>
            <w:r>
              <w:rPr>
                <w:sz w:val="24"/>
              </w:rPr>
              <w:t>B</w:t>
            </w:r>
            <w:r>
              <w:rPr>
                <w:spacing w:val="-20"/>
                <w:sz w:val="24"/>
              </w:rPr>
              <w:t xml:space="preserve"> 时得满分 </w:t>
            </w: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分；当投标报价</w:t>
            </w:r>
          </w:p>
          <w:p>
            <w:pPr>
              <w:pStyle w:val="10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(Sn)</w:t>
            </w:r>
            <w:r>
              <w:rPr>
                <w:spacing w:val="-7"/>
                <w:sz w:val="24"/>
              </w:rPr>
              <w:t xml:space="preserve">不等于评标基准价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 xml:space="preserve"> 时以投标报价</w:t>
            </w:r>
            <w:r>
              <w:rPr>
                <w:sz w:val="24"/>
              </w:rPr>
              <w:t>(Sn)与评标基准</w:t>
            </w:r>
            <w:r>
              <w:rPr>
                <w:spacing w:val="-30"/>
                <w:sz w:val="24"/>
              </w:rPr>
              <w:t xml:space="preserve">价 </w:t>
            </w:r>
            <w:r>
              <w:rPr>
                <w:sz w:val="24"/>
              </w:rPr>
              <w:t>B</w:t>
            </w:r>
            <w:r>
              <w:rPr>
                <w:spacing w:val="-12"/>
                <w:sz w:val="24"/>
              </w:rPr>
              <w:t xml:space="preserve"> 相比，即</w:t>
            </w:r>
            <w:r>
              <w:rPr>
                <w:sz w:val="24"/>
              </w:rPr>
              <w:t>：(Sn-B)/B×100%，</w:t>
            </w:r>
            <w:r>
              <w:rPr>
                <w:spacing w:val="-15"/>
                <w:sz w:val="24"/>
              </w:rPr>
              <w:t xml:space="preserve">每上升 </w:t>
            </w:r>
            <w:r>
              <w:rPr>
                <w:sz w:val="24"/>
              </w:rPr>
              <w:t>1%</w:t>
            </w:r>
            <w:r>
              <w:rPr>
                <w:spacing w:val="-30"/>
                <w:sz w:val="24"/>
              </w:rPr>
              <w:t xml:space="preserve">扣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分，每</w:t>
            </w:r>
            <w:r>
              <w:rPr>
                <w:spacing w:val="-30"/>
                <w:sz w:val="24"/>
              </w:rPr>
              <w:t xml:space="preserve">下降 </w:t>
            </w:r>
            <w:r>
              <w:rPr>
                <w:sz w:val="24"/>
              </w:rPr>
              <w:t>1%</w:t>
            </w:r>
            <w:r>
              <w:rPr>
                <w:spacing w:val="-30"/>
                <w:sz w:val="24"/>
              </w:rPr>
              <w:t xml:space="preserve">扣 </w:t>
            </w:r>
            <w:r>
              <w:rPr>
                <w:sz w:val="24"/>
              </w:rPr>
              <w:t>0.5</w:t>
            </w:r>
            <w:r>
              <w:rPr>
                <w:spacing w:val="-26"/>
                <w:sz w:val="24"/>
              </w:rPr>
              <w:t xml:space="preserve"> 分，扣完 </w:t>
            </w:r>
            <w:r>
              <w:rPr>
                <w:sz w:val="24"/>
              </w:rPr>
              <w:t>30</w:t>
            </w:r>
            <w:r>
              <w:rPr>
                <w:spacing w:val="-23"/>
                <w:sz w:val="24"/>
              </w:rPr>
              <w:t xml:space="preserve"> 分为止</w:t>
            </w:r>
            <w:r>
              <w:rPr>
                <w:sz w:val="24"/>
              </w:rPr>
              <w:t>（</w:t>
            </w:r>
            <w:r>
              <w:rPr>
                <w:spacing w:val="-9"/>
                <w:sz w:val="24"/>
              </w:rPr>
              <w:t xml:space="preserve">计算结果保留 </w:t>
            </w:r>
            <w:r>
              <w:rPr>
                <w:sz w:val="24"/>
              </w:rPr>
              <w:t>2</w:t>
            </w:r>
            <w:r>
              <w:rPr>
                <w:spacing w:val="-26"/>
                <w:sz w:val="24"/>
              </w:rPr>
              <w:t xml:space="preserve"> 位小</w:t>
            </w:r>
          </w:p>
          <w:p>
            <w:pPr>
              <w:pStyle w:val="10"/>
              <w:spacing w:before="2"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数，不足 1%按比例计算扣分）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62" w:type="dxa"/>
            <w:gridSpan w:val="3"/>
          </w:tcPr>
          <w:p>
            <w:pPr>
              <w:pStyle w:val="10"/>
              <w:spacing w:line="30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二、资信分（15 分）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44" w:type="dxa"/>
          </w:tcPr>
          <w:p>
            <w:pPr>
              <w:pStyle w:val="10"/>
              <w:spacing w:before="4"/>
              <w:ind w:left="0"/>
              <w:rPr>
                <w:sz w:val="24"/>
              </w:rPr>
            </w:pPr>
          </w:p>
          <w:p>
            <w:pPr>
              <w:pStyle w:val="10"/>
              <w:ind w:left="241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企业综合情况 </w:t>
            </w:r>
          </w:p>
        </w:tc>
        <w:tc>
          <w:tcPr>
            <w:tcW w:w="816" w:type="dxa"/>
          </w:tcPr>
          <w:p>
            <w:pPr>
              <w:pStyle w:val="10"/>
              <w:spacing w:before="4"/>
              <w:ind w:left="0"/>
              <w:rPr>
                <w:sz w:val="24"/>
              </w:rPr>
            </w:pPr>
          </w:p>
          <w:p>
            <w:pPr>
              <w:pStyle w:val="10"/>
              <w:ind w:left="196"/>
              <w:rPr>
                <w:sz w:val="24"/>
              </w:rPr>
            </w:pPr>
            <w:r>
              <w:rPr>
                <w:sz w:val="24"/>
              </w:rPr>
              <w:t xml:space="preserve">4 分 </w:t>
            </w:r>
          </w:p>
        </w:tc>
        <w:tc>
          <w:tcPr>
            <w:tcW w:w="6102" w:type="dxa"/>
          </w:tcPr>
          <w:p>
            <w:pPr>
              <w:pStyle w:val="10"/>
              <w:spacing w:before="2" w:line="242" w:lineRule="auto"/>
              <w:ind w:right="97"/>
              <w:rPr>
                <w:sz w:val="24"/>
              </w:rPr>
            </w:pPr>
            <w:r>
              <w:rPr>
                <w:spacing w:val="-12"/>
                <w:sz w:val="24"/>
              </w:rPr>
              <w:t>投标人的各项证书、用户反馈、</w:t>
            </w:r>
            <w:r>
              <w:rPr>
                <w:rFonts w:hint="eastAsia"/>
                <w:spacing w:val="-12"/>
                <w:sz w:val="24"/>
                <w:lang w:val="en-US" w:eastAsia="zh-CN"/>
              </w:rPr>
              <w:t>获奖情况等</w:t>
            </w:r>
            <w:r>
              <w:rPr>
                <w:spacing w:val="-12"/>
                <w:sz w:val="24"/>
              </w:rPr>
              <w:t>资</w:t>
            </w:r>
            <w:r>
              <w:rPr>
                <w:spacing w:val="-21"/>
                <w:sz w:val="24"/>
              </w:rPr>
              <w:t xml:space="preserve">料。按优 </w:t>
            </w:r>
            <w:r>
              <w:rPr>
                <w:sz w:val="24"/>
              </w:rPr>
              <w:t>4</w:t>
            </w:r>
            <w:r>
              <w:rPr>
                <w:spacing w:val="-32"/>
                <w:sz w:val="24"/>
              </w:rPr>
              <w:t xml:space="preserve"> 分、中 </w:t>
            </w:r>
            <w:r>
              <w:rPr>
                <w:sz w:val="24"/>
              </w:rPr>
              <w:t>2</w:t>
            </w:r>
            <w:r>
              <w:rPr>
                <w:spacing w:val="-32"/>
                <w:sz w:val="24"/>
              </w:rPr>
              <w:t xml:space="preserve"> 分、差 </w:t>
            </w:r>
            <w:r>
              <w:rPr>
                <w:sz w:val="24"/>
              </w:rPr>
              <w:t>0</w:t>
            </w:r>
            <w:r>
              <w:rPr>
                <w:spacing w:val="-9"/>
                <w:sz w:val="24"/>
              </w:rPr>
              <w:t xml:space="preserve"> 分三档由专家根据资料酌情</w:t>
            </w:r>
            <w:r>
              <w:rPr>
                <w:sz w:val="24"/>
              </w:rPr>
              <w:t xml:space="preserve">打分；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1844" w:type="dxa"/>
          </w:tcPr>
          <w:p>
            <w:pPr>
              <w:pStyle w:val="10"/>
              <w:ind w:left="0"/>
              <w:rPr>
                <w:sz w:val="24"/>
              </w:rPr>
            </w:pPr>
          </w:p>
          <w:p>
            <w:pPr>
              <w:pStyle w:val="10"/>
              <w:spacing w:before="158" w:line="242" w:lineRule="auto"/>
              <w:ind w:left="801" w:right="190" w:hanging="600"/>
              <w:rPr>
                <w:sz w:val="24"/>
              </w:rPr>
            </w:pPr>
            <w:r>
              <w:rPr>
                <w:sz w:val="24"/>
              </w:rPr>
              <w:t xml:space="preserve">本地化服务能力 </w:t>
            </w:r>
          </w:p>
        </w:tc>
        <w:tc>
          <w:tcPr>
            <w:tcW w:w="816" w:type="dxa"/>
          </w:tcPr>
          <w:p>
            <w:pPr>
              <w:pStyle w:val="10"/>
              <w:ind w:left="0"/>
              <w:rPr>
                <w:sz w:val="24"/>
              </w:rPr>
            </w:pPr>
          </w:p>
          <w:p>
            <w:pPr>
              <w:pStyle w:val="10"/>
              <w:spacing w:before="6"/>
              <w:ind w:left="0"/>
              <w:rPr>
                <w:sz w:val="24"/>
              </w:rPr>
            </w:pPr>
          </w:p>
          <w:p>
            <w:pPr>
              <w:pStyle w:val="10"/>
              <w:ind w:left="196"/>
              <w:rPr>
                <w:sz w:val="24"/>
              </w:rPr>
            </w:pPr>
            <w:r>
              <w:rPr>
                <w:sz w:val="24"/>
              </w:rPr>
              <w:t xml:space="preserve">1 分 </w:t>
            </w:r>
          </w:p>
        </w:tc>
        <w:tc>
          <w:tcPr>
            <w:tcW w:w="6102" w:type="dxa"/>
          </w:tcPr>
          <w:p>
            <w:pPr>
              <w:pStyle w:val="10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注册营业地址在安徽省内，能满足现场维护实际响应时间</w:t>
            </w:r>
            <w:r>
              <w:rPr>
                <w:spacing w:val="-30"/>
                <w:sz w:val="24"/>
              </w:rPr>
              <w:t xml:space="preserve">在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小时内的。或者注册营业地址在不在安徽省内，但在</w:t>
            </w:r>
            <w:r>
              <w:rPr>
                <w:spacing w:val="-10"/>
                <w:sz w:val="24"/>
              </w:rPr>
              <w:t>安徽省内有分公司或办事处，能满足现场维护实际响应时</w:t>
            </w:r>
            <w:r>
              <w:rPr>
                <w:spacing w:val="-20"/>
                <w:sz w:val="24"/>
              </w:rPr>
              <w:t xml:space="preserve">间在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小时内的，得 </w:t>
            </w:r>
            <w:r>
              <w:rPr>
                <w:sz w:val="24"/>
              </w:rPr>
              <w:t>1</w:t>
            </w:r>
            <w:r>
              <w:rPr>
                <w:spacing w:val="-29"/>
                <w:sz w:val="24"/>
              </w:rPr>
              <w:t xml:space="preserve"> 分</w:t>
            </w:r>
            <w:r>
              <w:rPr>
                <w:sz w:val="24"/>
              </w:rPr>
              <w:t>（提供承诺函原件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，否则不得</w:t>
            </w:r>
          </w:p>
          <w:p>
            <w:pPr>
              <w:pStyle w:val="10"/>
              <w:spacing w:before="3" w:line="28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分。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</w:tcPr>
          <w:p>
            <w:pPr>
              <w:pStyle w:val="10"/>
              <w:spacing w:before="155"/>
              <w:ind w:left="240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同类业绩 </w:t>
            </w:r>
          </w:p>
        </w:tc>
        <w:tc>
          <w:tcPr>
            <w:tcW w:w="816" w:type="dxa"/>
          </w:tcPr>
          <w:p>
            <w:pPr>
              <w:pStyle w:val="10"/>
              <w:spacing w:before="15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10 分 </w:t>
            </w:r>
          </w:p>
        </w:tc>
        <w:tc>
          <w:tcPr>
            <w:tcW w:w="6102" w:type="dxa"/>
          </w:tcPr>
          <w:p>
            <w:pPr>
              <w:pStyle w:val="10"/>
              <w:spacing w:line="30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投标人有相同业绩的，每个得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 xml:space="preserve"> 分，最高 </w:t>
            </w:r>
            <w:r>
              <w:rPr>
                <w:sz w:val="24"/>
              </w:rPr>
              <w:t>10</w:t>
            </w:r>
            <w:r>
              <w:rPr>
                <w:spacing w:val="-29"/>
                <w:sz w:val="24"/>
              </w:rPr>
              <w:t xml:space="preserve"> 分</w:t>
            </w:r>
            <w:r>
              <w:rPr>
                <w:sz w:val="24"/>
              </w:rPr>
              <w:t>（提供合</w:t>
            </w:r>
          </w:p>
          <w:p>
            <w:pPr>
              <w:pStyle w:val="10"/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同复印件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 xml:space="preserve">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762" w:type="dxa"/>
            <w:gridSpan w:val="3"/>
          </w:tcPr>
          <w:p>
            <w:pPr>
              <w:pStyle w:val="10"/>
              <w:spacing w:line="30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三、技术分（55 分）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844" w:type="dxa"/>
          </w:tcPr>
          <w:p>
            <w:pPr>
              <w:pStyle w:val="10"/>
              <w:spacing w:before="156"/>
              <w:ind w:left="241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技术要求 </w:t>
            </w:r>
          </w:p>
        </w:tc>
        <w:tc>
          <w:tcPr>
            <w:tcW w:w="816" w:type="dxa"/>
          </w:tcPr>
          <w:p>
            <w:pPr>
              <w:pStyle w:val="10"/>
              <w:spacing w:before="156"/>
              <w:ind w:left="141"/>
              <w:rPr>
                <w:sz w:val="24"/>
              </w:rPr>
            </w:pPr>
            <w:r>
              <w:rPr>
                <w:sz w:val="24"/>
              </w:rPr>
              <w:t xml:space="preserve">40 分 </w:t>
            </w:r>
          </w:p>
        </w:tc>
        <w:tc>
          <w:tcPr>
            <w:tcW w:w="6102" w:type="dxa"/>
          </w:tcPr>
          <w:p>
            <w:pPr>
              <w:pStyle w:val="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全部响应得 </w:t>
            </w:r>
            <w:r>
              <w:rPr>
                <w:sz w:val="24"/>
              </w:rPr>
              <w:t>40</w:t>
            </w:r>
            <w:r>
              <w:rPr>
                <w:spacing w:val="-18"/>
                <w:sz w:val="24"/>
              </w:rPr>
              <w:t xml:space="preserve"> 分，参数有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项不满足，扣 </w:t>
            </w:r>
            <w:r>
              <w:rPr>
                <w:rFonts w:hint="eastAsia"/>
                <w:spacing w:val="-16"/>
                <w:sz w:val="24"/>
                <w:lang w:val="en-US" w:eastAsia="zh-CN"/>
              </w:rPr>
              <w:t>3</w:t>
            </w:r>
            <w:r>
              <w:rPr>
                <w:spacing w:val="-10"/>
                <w:sz w:val="24"/>
              </w:rPr>
              <w:t xml:space="preserve"> 分，直至扣</w:t>
            </w:r>
          </w:p>
          <w:p>
            <w:pPr>
              <w:pStyle w:val="10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完 40 分为止。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844" w:type="dxa"/>
          </w:tcPr>
          <w:p>
            <w:pPr>
              <w:pStyle w:val="10"/>
              <w:spacing w:before="4"/>
              <w:ind w:left="0"/>
              <w:rPr>
                <w:sz w:val="24"/>
              </w:rPr>
            </w:pPr>
          </w:p>
          <w:p>
            <w:pPr>
              <w:pStyle w:val="10"/>
              <w:ind w:left="241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实施方案 </w:t>
            </w:r>
          </w:p>
        </w:tc>
        <w:tc>
          <w:tcPr>
            <w:tcW w:w="816" w:type="dxa"/>
          </w:tcPr>
          <w:p>
            <w:pPr>
              <w:pStyle w:val="10"/>
              <w:spacing w:before="4"/>
              <w:ind w:left="0"/>
              <w:rPr>
                <w:sz w:val="24"/>
              </w:rPr>
            </w:pPr>
          </w:p>
          <w:p>
            <w:pPr>
              <w:pStyle w:val="10"/>
              <w:ind w:left="141"/>
              <w:rPr>
                <w:sz w:val="24"/>
              </w:rPr>
            </w:pPr>
            <w:r>
              <w:rPr>
                <w:sz w:val="24"/>
              </w:rPr>
              <w:t xml:space="preserve">10 分 </w:t>
            </w:r>
          </w:p>
        </w:tc>
        <w:tc>
          <w:tcPr>
            <w:tcW w:w="6102" w:type="dxa"/>
          </w:tcPr>
          <w:p>
            <w:pPr>
              <w:pStyle w:val="10"/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实施方案应考虑全面，编制合理，有质保措施，有进度保</w:t>
            </w:r>
            <w:r>
              <w:rPr>
                <w:spacing w:val="-12"/>
                <w:sz w:val="24"/>
              </w:rPr>
              <w:t>障措施，有相应的技术人员配备。由专家根据方案内容酌</w:t>
            </w:r>
            <w:r>
              <w:rPr>
                <w:spacing w:val="-9"/>
                <w:sz w:val="24"/>
              </w:rPr>
              <w:t xml:space="preserve">情打分，较差 </w:t>
            </w:r>
            <w:r>
              <w:rPr>
                <w:sz w:val="24"/>
              </w:rPr>
              <w:t>2-4</w:t>
            </w:r>
            <w:r>
              <w:rPr>
                <w:spacing w:val="-20"/>
                <w:sz w:val="24"/>
              </w:rPr>
              <w:t xml:space="preserve"> 分，一般 </w:t>
            </w:r>
            <w:r>
              <w:rPr>
                <w:sz w:val="24"/>
              </w:rPr>
              <w:t>5-7</w:t>
            </w:r>
            <w:r>
              <w:rPr>
                <w:spacing w:val="-20"/>
                <w:sz w:val="24"/>
              </w:rPr>
              <w:t xml:space="preserve"> 分，优秀 </w:t>
            </w:r>
            <w:r>
              <w:rPr>
                <w:sz w:val="24"/>
              </w:rPr>
              <w:t>8-10</w:t>
            </w:r>
            <w:r>
              <w:rPr>
                <w:spacing w:val="-20"/>
                <w:sz w:val="24"/>
              </w:rPr>
              <w:t xml:space="preserve"> 分。 </w:t>
            </w:r>
          </w:p>
        </w:tc>
      </w:tr>
    </w:tbl>
    <w:p>
      <w:pPr>
        <w:pStyle w:val="4"/>
        <w:spacing w:before="0"/>
        <w:ind w:left="71"/>
        <w:jc w:val="center"/>
      </w:pPr>
      <w:r>
        <w:t xml:space="preserve"> </w:t>
      </w:r>
    </w:p>
    <w:p>
      <w:pPr>
        <w:spacing w:after="0"/>
        <w:jc w:val="center"/>
        <w:sectPr>
          <w:headerReference r:id="rId3" w:type="default"/>
          <w:type w:val="continuous"/>
          <w:pgSz w:w="11910" w:h="16850"/>
          <w:pgMar w:top="1380" w:right="840" w:bottom="280" w:left="1580" w:header="740" w:footer="720" w:gutter="0"/>
        </w:sectPr>
      </w:pPr>
    </w:p>
    <w:p>
      <w:pPr>
        <w:pStyle w:val="2"/>
      </w:pPr>
      <w:r>
        <w:t>第二章 技术要求</w:t>
      </w:r>
    </w:p>
    <w:p>
      <w:pPr>
        <w:pStyle w:val="3"/>
        <w:spacing w:before="6"/>
        <w:ind w:left="4220" w:right="4266"/>
        <w:jc w:val="center"/>
      </w:pPr>
      <w:r>
        <w:t>总体要求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before="3" w:after="0" w:line="244" w:lineRule="auto"/>
        <w:ind w:left="218" w:right="262" w:firstLine="0"/>
        <w:jc w:val="left"/>
        <w:rPr>
          <w:b/>
          <w:sz w:val="21"/>
        </w:rPr>
      </w:pPr>
      <w:r>
        <w:rPr>
          <w:b/>
          <w:sz w:val="21"/>
        </w:rPr>
        <w:t>投标人必须以所投货物的技术规格逐条应答并提供相应的描述，简单应答</w:t>
      </w:r>
      <w:r>
        <w:rPr>
          <w:rFonts w:ascii="Times New Roman" w:hAnsi="Times New Roman" w:eastAsia="Times New Roman"/>
          <w:b/>
          <w:spacing w:val="-3"/>
          <w:sz w:val="21"/>
        </w:rPr>
        <w:t>“</w:t>
      </w:r>
      <w:r>
        <w:rPr>
          <w:b/>
          <w:sz w:val="21"/>
        </w:rPr>
        <w:t>满足</w:t>
      </w:r>
      <w:r>
        <w:rPr>
          <w:rFonts w:ascii="Times New Roman" w:hAnsi="Times New Roman" w:eastAsia="Times New Roman"/>
          <w:b/>
          <w:spacing w:val="-3"/>
          <w:sz w:val="21"/>
        </w:rPr>
        <w:t>”</w:t>
      </w:r>
      <w:r>
        <w:rPr>
          <w:b/>
          <w:sz w:val="21"/>
        </w:rPr>
        <w:t>、</w:t>
      </w:r>
      <w:r>
        <w:rPr>
          <w:rFonts w:ascii="Times New Roman" w:hAnsi="Times New Roman" w:eastAsia="Times New Roman"/>
          <w:b/>
          <w:spacing w:val="-3"/>
          <w:sz w:val="21"/>
        </w:rPr>
        <w:t>“</w:t>
      </w:r>
      <w:r>
        <w:rPr>
          <w:b/>
          <w:sz w:val="21"/>
        </w:rPr>
        <w:t>符合</w:t>
      </w:r>
      <w:r>
        <w:rPr>
          <w:rFonts w:ascii="Times New Roman" w:hAnsi="Times New Roman" w:eastAsia="Times New Roman"/>
          <w:b/>
          <w:spacing w:val="-3"/>
          <w:sz w:val="21"/>
        </w:rPr>
        <w:t>”</w:t>
      </w:r>
      <w:r>
        <w:rPr>
          <w:b/>
          <w:sz w:val="21"/>
        </w:rPr>
        <w:t>、</w:t>
      </w:r>
      <w:r>
        <w:rPr>
          <w:rFonts w:ascii="Times New Roman" w:hAnsi="Times New Roman" w:eastAsia="Times New Roman"/>
          <w:b/>
          <w:spacing w:val="-3"/>
          <w:sz w:val="21"/>
        </w:rPr>
        <w:t>“</w:t>
      </w:r>
      <w:r>
        <w:rPr>
          <w:b/>
          <w:spacing w:val="-11"/>
          <w:sz w:val="21"/>
        </w:rPr>
        <w:t>达</w:t>
      </w:r>
      <w:r>
        <w:rPr>
          <w:b/>
          <w:sz w:val="21"/>
        </w:rPr>
        <w:t>到</w:t>
      </w:r>
      <w:r>
        <w:rPr>
          <w:rFonts w:ascii="Times New Roman" w:hAnsi="Times New Roman" w:eastAsia="Times New Roman"/>
          <w:b/>
          <w:spacing w:val="-3"/>
          <w:sz w:val="21"/>
        </w:rPr>
        <w:t>”</w:t>
      </w:r>
      <w:r>
        <w:rPr>
          <w:b/>
          <w:spacing w:val="-2"/>
          <w:sz w:val="21"/>
        </w:rPr>
        <w:t>或照搬招标文件要求的应答，视为</w:t>
      </w:r>
      <w:r>
        <w:rPr>
          <w:rFonts w:ascii="Times New Roman" w:hAnsi="Times New Roman" w:eastAsia="Times New Roman"/>
          <w:b/>
          <w:spacing w:val="-3"/>
          <w:sz w:val="21"/>
        </w:rPr>
        <w:t>“</w:t>
      </w:r>
      <w:r>
        <w:rPr>
          <w:b/>
          <w:sz w:val="21"/>
        </w:rPr>
        <w:t>不接受</w:t>
      </w:r>
      <w:r>
        <w:rPr>
          <w:rFonts w:ascii="Times New Roman" w:hAnsi="Times New Roman" w:eastAsia="Times New Roman"/>
          <w:b/>
          <w:spacing w:val="-3"/>
          <w:sz w:val="21"/>
        </w:rPr>
        <w:t>”</w:t>
      </w:r>
      <w:r>
        <w:rPr>
          <w:b/>
          <w:sz w:val="21"/>
        </w:rPr>
        <w:t>招标文件要求。</w:t>
      </w:r>
    </w:p>
    <w:p>
      <w:pPr>
        <w:pStyle w:val="3"/>
        <w:numPr>
          <w:ilvl w:val="0"/>
          <w:numId w:val="2"/>
        </w:numPr>
        <w:spacing w:before="6" w:line="278" w:lineRule="auto"/>
        <w:ind w:right="6556"/>
        <w:rPr>
          <w:rFonts w:hint="eastAsia"/>
          <w:lang w:val="en-US" w:eastAsia="zh-CN"/>
        </w:rPr>
      </w:pPr>
      <w:r>
        <w:t>招标内容：</w:t>
      </w:r>
      <w:r>
        <w:rPr>
          <w:rFonts w:hint="eastAsia"/>
          <w:lang w:val="en-US" w:eastAsia="zh-CN"/>
        </w:rPr>
        <w:t>网闸</w:t>
      </w:r>
    </w:p>
    <w:p>
      <w:pPr>
        <w:pStyle w:val="3"/>
        <w:numPr>
          <w:ilvl w:val="0"/>
          <w:numId w:val="2"/>
        </w:numPr>
        <w:spacing w:before="6" w:line="278" w:lineRule="auto"/>
        <w:ind w:right="6556"/>
      </w:pPr>
      <w:r>
        <w:t>项目说明</w:t>
      </w:r>
      <w:r>
        <w:rPr>
          <w:w w:val="99"/>
        </w:rPr>
        <w:t xml:space="preserve"> </w:t>
      </w:r>
    </w:p>
    <w:p>
      <w:pPr>
        <w:pStyle w:val="4"/>
        <w:spacing w:before="2" w:line="278" w:lineRule="auto"/>
        <w:ind w:left="638" w:right="220" w:firstLine="480"/>
        <w:jc w:val="both"/>
      </w:pPr>
      <w:r>
        <w:rPr>
          <w:spacing w:val="-2"/>
        </w:rPr>
        <w:t>本部分是项目设计和建设的技术依据，招标文件所列要求应视为保证系统工作</w:t>
      </w:r>
      <w:r>
        <w:rPr>
          <w:spacing w:val="-1"/>
        </w:rPr>
        <w:t>所需的基本</w:t>
      </w:r>
      <w:r>
        <w:t>（最低</w:t>
      </w:r>
      <w:r>
        <w:rPr>
          <w:spacing w:val="-5"/>
        </w:rPr>
        <w:t>）</w:t>
      </w:r>
      <w:r>
        <w:rPr>
          <w:spacing w:val="-3"/>
        </w:rPr>
        <w:t>要求。投标人在方案设计时</w:t>
      </w:r>
      <w:r>
        <w:rPr>
          <w:spacing w:val="-3"/>
          <w:highlight w:val="none"/>
        </w:rPr>
        <w:t>应充分考虑</w:t>
      </w:r>
      <w:r>
        <w:rPr>
          <w:rFonts w:hint="eastAsia"/>
          <w:spacing w:val="-3"/>
          <w:highlight w:val="none"/>
          <w:lang w:eastAsia="zh-CN"/>
        </w:rPr>
        <w:t>，</w:t>
      </w:r>
      <w:r>
        <w:rPr>
          <w:spacing w:val="-2"/>
        </w:rPr>
        <w:t>并有义务对招标文件中的遗漏或失误提</w:t>
      </w:r>
      <w:r>
        <w:t xml:space="preserve">出补充修改建议，这将作为投标方案的重要参考。 </w:t>
      </w:r>
    </w:p>
    <w:p>
      <w:pPr>
        <w:pStyle w:val="3"/>
        <w:spacing w:before="6"/>
        <w:rPr>
          <w:b w:val="0"/>
        </w:rPr>
      </w:pPr>
      <w:r>
        <w:t>（一）</w:t>
      </w:r>
      <w:r>
        <w:rPr>
          <w:rFonts w:hint="eastAsia"/>
          <w:lang w:val="en-US" w:eastAsia="zh-CN"/>
        </w:rPr>
        <w:t>设备采购</w:t>
      </w:r>
      <w:r>
        <w:t>目标</w:t>
      </w:r>
      <w:r>
        <w:rPr>
          <w:b w:val="0"/>
        </w:rPr>
        <w:t xml:space="preserve"> </w:t>
      </w:r>
    </w:p>
    <w:p>
      <w:pPr>
        <w:pStyle w:val="4"/>
        <w:spacing w:before="51" w:line="278" w:lineRule="auto"/>
        <w:ind w:right="146" w:firstLine="479"/>
      </w:pPr>
      <w:r>
        <w:rPr>
          <w:rFonts w:hint="eastAsia"/>
          <w:lang w:val="en-US" w:eastAsia="zh-CN"/>
        </w:rPr>
        <w:t>网闸采购目的</w:t>
      </w:r>
      <w:r>
        <w:rPr>
          <w:spacing w:val="-10"/>
        </w:rPr>
        <w:t>是为</w:t>
      </w:r>
      <w:r>
        <w:rPr>
          <w:rFonts w:hint="eastAsia"/>
          <w:spacing w:val="-10"/>
          <w:lang w:val="en-US" w:eastAsia="zh-CN"/>
        </w:rPr>
        <w:t>了保障医院网络安全，防止内外网数据交互造成数据丢失、泄露，进一步保障医院信息化业务开展。</w:t>
      </w:r>
      <w:r>
        <w:rPr>
          <w:spacing w:val="-12"/>
        </w:rPr>
        <w:t xml:space="preserve"> </w:t>
      </w:r>
    </w:p>
    <w:p>
      <w:pPr>
        <w:spacing w:before="4"/>
        <w:ind w:left="218" w:right="0" w:firstLine="0"/>
        <w:jc w:val="left"/>
        <w:rPr>
          <w:rFonts w:hint="eastAsia" w:eastAsia="宋体"/>
          <w:sz w:val="24"/>
          <w:lang w:val="en-US" w:eastAsia="zh-CN"/>
        </w:rPr>
      </w:pPr>
      <w:r>
        <w:rPr>
          <w:b/>
          <w:sz w:val="24"/>
        </w:rPr>
        <w:t>（二）招标内容：</w:t>
      </w:r>
      <w:r>
        <w:rPr>
          <w:rFonts w:hint="eastAsia"/>
          <w:sz w:val="24"/>
          <w:lang w:val="en-US" w:eastAsia="zh-CN"/>
        </w:rPr>
        <w:t>网闸壹台</w:t>
      </w:r>
    </w:p>
    <w:p>
      <w:pPr>
        <w:pStyle w:val="3"/>
        <w:spacing w:before="53"/>
        <w:rPr>
          <w:b w:val="0"/>
        </w:rPr>
      </w:pPr>
      <w:r>
        <w:t>（三）总体技术</w:t>
      </w:r>
      <w:r>
        <w:rPr>
          <w:rFonts w:hint="eastAsia"/>
          <w:lang w:val="en-US" w:eastAsia="zh-CN"/>
        </w:rPr>
        <w:t>参数</w:t>
      </w:r>
      <w:r>
        <w:t>要求</w:t>
      </w:r>
      <w:r>
        <w:rPr>
          <w:b w:val="0"/>
        </w:rPr>
        <w:t xml:space="preserve"> </w:t>
      </w:r>
    </w:p>
    <w:p>
      <w:pPr>
        <w:ind w:left="1199" w:leftChars="436" w:hanging="240" w:hangingChars="1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b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硬件架构由内端机、外端机、专有隔离硬件三部分组成，基于光隔离技术专有硬件进行隔离和数据交换</w:t>
      </w:r>
    </w:p>
    <w:p>
      <w:pPr>
        <w:ind w:left="1199" w:leftChars="436" w:hanging="240" w:hangingChars="1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内端机6个10/100/1000Base-T接口和2个SFP插槽，含1个MAN口；外端机6个10/100/1000Base-T接口和2个SFP插槽，含1个 HA口；</w:t>
      </w:r>
    </w:p>
    <w:p>
      <w:pPr>
        <w:ind w:left="1439" w:leftChars="436" w:hanging="480" w:hanging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标准配置包含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web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访问模块、邮件访问模块、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FTP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访问模块、数据库访问模块视频监控模块、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OPC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工业控制模块、自定义应用模块；</w:t>
      </w:r>
    </w:p>
    <w:p>
      <w:pPr>
        <w:ind w:firstLine="960" w:firstLineChars="4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2U，标配双电源；</w:t>
      </w:r>
    </w:p>
    <w:p>
      <w:pPr>
        <w:numPr>
          <w:ilvl w:val="0"/>
          <w:numId w:val="3"/>
        </w:numPr>
        <w:ind w:firstLine="960" w:firstLineChars="4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网络吞吐量：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1Gbps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；系统整体时延：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&lt;5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毫秒；所有协议通道并发连接数</w:t>
      </w:r>
      <w:r>
        <w:rPr>
          <w:rFonts w:hint="eastAsia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:5000;</w:t>
      </w:r>
    </w:p>
    <w:p>
      <w:pPr>
        <w:numPr>
          <w:ilvl w:val="0"/>
          <w:numId w:val="3"/>
        </w:numPr>
        <w:ind w:firstLine="960" w:firstLineChars="4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可接入到现有安全管理平台，方便统一管理，策略下发；</w:t>
      </w:r>
    </w:p>
    <w:p>
      <w:pPr>
        <w:numPr>
          <w:ilvl w:val="0"/>
          <w:numId w:val="3"/>
        </w:numPr>
        <w:ind w:firstLine="960" w:firstLineChars="4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合同签订前需要提供原厂针对本项目的三年的售后服务承诺函原件。</w:t>
      </w:r>
    </w:p>
    <w:p>
      <w:pPr>
        <w:numPr>
          <w:ilvl w:val="0"/>
          <w:numId w:val="3"/>
        </w:numPr>
        <w:ind w:firstLine="960" w:firstLineChars="4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质保5年，免费提供技术支持</w:t>
      </w:r>
    </w:p>
    <w:p>
      <w:pPr>
        <w:pStyle w:val="3"/>
        <w:spacing w:before="0"/>
      </w:pPr>
      <w:r>
        <w:t>四、实施要求</w:t>
      </w:r>
      <w:r>
        <w:rPr>
          <w:w w:val="99"/>
        </w:rPr>
        <w:t xml:space="preserve"> </w:t>
      </w:r>
    </w:p>
    <w:p>
      <w:pPr>
        <w:spacing w:before="49"/>
        <w:ind w:left="688" w:right="0" w:firstLine="0"/>
        <w:jc w:val="left"/>
        <w:rPr>
          <w:b/>
          <w:sz w:val="24"/>
        </w:rPr>
      </w:pPr>
      <w:r>
        <w:rPr>
          <w:b/>
          <w:sz w:val="24"/>
        </w:rPr>
        <w:t>1、</w:t>
      </w:r>
      <w:r>
        <w:rPr>
          <w:rFonts w:hint="eastAsia"/>
          <w:b/>
          <w:sz w:val="24"/>
          <w:lang w:val="en-US" w:eastAsia="zh-CN"/>
        </w:rPr>
        <w:t>设备</w:t>
      </w:r>
      <w:r>
        <w:rPr>
          <w:b/>
          <w:sz w:val="24"/>
        </w:rPr>
        <w:t>实施计划</w:t>
      </w:r>
      <w:r>
        <w:rPr>
          <w:b/>
          <w:w w:val="99"/>
          <w:sz w:val="24"/>
        </w:rPr>
        <w:t xml:space="preserve"> </w:t>
      </w:r>
    </w:p>
    <w:p>
      <w:pPr>
        <w:pStyle w:val="4"/>
        <w:spacing w:before="53"/>
        <w:ind w:left="686"/>
        <w:rPr>
          <w:b/>
        </w:rPr>
      </w:pPr>
      <w:r>
        <w:t>工期：</w:t>
      </w:r>
      <w:r>
        <w:rPr>
          <w:rFonts w:hint="eastAsia"/>
          <w:lang w:val="en-US" w:eastAsia="zh-CN"/>
        </w:rPr>
        <w:t>7</w:t>
      </w:r>
      <w:r>
        <w:t xml:space="preserve"> 个工作日。</w:t>
      </w:r>
      <w:r>
        <w:rPr>
          <w:b/>
          <w:w w:val="99"/>
        </w:rPr>
        <w:t xml:space="preserve"> </w:t>
      </w:r>
    </w:p>
    <w:p>
      <w:pPr>
        <w:pStyle w:val="4"/>
        <w:ind w:left="686"/>
        <w:rPr>
          <w:b/>
        </w:rPr>
      </w:pPr>
      <w:r>
        <w:t>需提出明确的实施计划</w:t>
      </w:r>
      <w:r>
        <w:rPr>
          <w:rFonts w:hint="eastAsia"/>
          <w:lang w:val="en-US" w:eastAsia="zh-CN"/>
        </w:rPr>
        <w:t>方案</w:t>
      </w:r>
      <w:r>
        <w:t>。</w:t>
      </w:r>
      <w:r>
        <w:rPr>
          <w:b/>
          <w:w w:val="99"/>
        </w:rPr>
        <w:t xml:space="preserve"> </w:t>
      </w:r>
    </w:p>
    <w:p>
      <w:pPr>
        <w:pStyle w:val="3"/>
        <w:ind w:left="688"/>
      </w:pPr>
      <w:r>
        <w:rPr>
          <w:rFonts w:hint="eastAsia"/>
          <w:lang w:val="en-US" w:eastAsia="zh-CN"/>
        </w:rPr>
        <w:t>2</w:t>
      </w:r>
      <w:r>
        <w:t>、工程师资质：</w:t>
      </w:r>
      <w:r>
        <w:rPr>
          <w:w w:val="99"/>
        </w:rPr>
        <w:t xml:space="preserve"> </w:t>
      </w:r>
    </w:p>
    <w:p>
      <w:pPr>
        <w:pStyle w:val="4"/>
        <w:spacing w:line="278" w:lineRule="auto"/>
        <w:ind w:right="266" w:firstLine="467"/>
        <w:rPr>
          <w:b/>
        </w:rPr>
      </w:pPr>
      <w:r>
        <w:rPr>
          <w:rFonts w:hint="eastAsia"/>
          <w:spacing w:val="-6"/>
          <w:lang w:eastAsia="zh-CN"/>
        </w:rPr>
        <w:t>设备</w:t>
      </w:r>
      <w:r>
        <w:rPr>
          <w:spacing w:val="-6"/>
        </w:rPr>
        <w:t>实施工程师需具备相关职业技能证明</w:t>
      </w:r>
    </w:p>
    <w:p>
      <w:pPr>
        <w:pStyle w:val="3"/>
        <w:numPr>
          <w:ilvl w:val="0"/>
          <w:numId w:val="4"/>
        </w:numPr>
        <w:spacing w:before="5"/>
      </w:pPr>
      <w:r>
        <w:t>售后服务要求</w:t>
      </w:r>
    </w:p>
    <w:p>
      <w:pPr>
        <w:pStyle w:val="4"/>
        <w:spacing w:before="56"/>
        <w:ind w:left="0" w:leftChars="0" w:firstLine="720" w:firstLineChars="300"/>
      </w:pPr>
      <w:r>
        <w:t xml:space="preserve">1、供方需提供及时的响应服务。 </w:t>
      </w:r>
    </w:p>
    <w:p>
      <w:pPr>
        <w:pStyle w:val="4"/>
        <w:spacing w:before="2" w:line="280" w:lineRule="auto"/>
        <w:ind w:left="697" w:leftChars="317" w:right="277" w:firstLine="28" w:firstLineChars="12"/>
      </w:pPr>
      <w:r>
        <w:rPr>
          <w:rFonts w:hint="eastAsia"/>
          <w:lang w:val="en-US" w:eastAsia="zh-CN"/>
        </w:rPr>
        <w:t>2</w:t>
      </w:r>
      <w:r>
        <w:t>、项目实施完成后，供方需</w:t>
      </w:r>
      <w:r>
        <w:rPr>
          <w:rFonts w:hint="eastAsia"/>
          <w:lang w:val="en-US" w:eastAsia="zh-CN"/>
        </w:rPr>
        <w:t>提供</w:t>
      </w:r>
      <w:r>
        <w:t xml:space="preserve">专门的售后服务工程师负责本项目的售后服务工作。 </w:t>
      </w:r>
    </w:p>
    <w:p>
      <w:pPr>
        <w:pStyle w:val="4"/>
        <w:spacing w:before="0" w:line="306" w:lineRule="exact"/>
        <w:ind w:left="688"/>
      </w:pPr>
      <w:r>
        <w:rPr>
          <w:rFonts w:hint="eastAsia"/>
          <w:lang w:val="en-US" w:eastAsia="zh-CN"/>
        </w:rPr>
        <w:t>3</w:t>
      </w:r>
      <w:r>
        <w:t>、</w:t>
      </w:r>
      <w:r>
        <w:rPr>
          <w:rFonts w:hint="eastAsia"/>
          <w:lang w:val="en-US" w:eastAsia="zh-CN"/>
        </w:rPr>
        <w:t>设备</w:t>
      </w:r>
      <w:r>
        <w:t xml:space="preserve">发生故障时，供方需在2小时内响应故障，并在8小时内完成故障处理工作。 </w:t>
      </w:r>
    </w:p>
    <w:p>
      <w:pPr>
        <w:pStyle w:val="4"/>
        <w:ind w:left="688"/>
      </w:pPr>
      <w:r>
        <w:rPr>
          <w:rFonts w:hint="eastAsia"/>
          <w:lang w:val="en-US" w:eastAsia="zh-CN"/>
        </w:rPr>
        <w:t>4</w:t>
      </w:r>
      <w:r>
        <w:t>、如需供方上门完成故障排除，供方技术人员需在4小时内到达现场。</w:t>
      </w:r>
    </w:p>
    <w:p>
      <w:pPr>
        <w:spacing w:before="5" w:line="278" w:lineRule="auto"/>
        <w:ind w:left="218" w:right="2554" w:firstLine="470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六</w:t>
      </w:r>
      <w:r>
        <w:rPr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设备</w:t>
      </w:r>
      <w:r>
        <w:rPr>
          <w:b/>
          <w:sz w:val="24"/>
        </w:rPr>
        <w:t>清单</w:t>
      </w:r>
      <w:r>
        <w:rPr>
          <w:b/>
          <w:w w:val="99"/>
          <w:sz w:val="24"/>
        </w:rPr>
        <w:t xml:space="preserve"> </w:t>
      </w:r>
    </w:p>
    <w:tbl>
      <w:tblPr>
        <w:tblStyle w:val="7"/>
        <w:tblW w:w="8722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3730"/>
        <w:gridCol w:w="854"/>
        <w:gridCol w:w="874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87" w:type="dxa"/>
          </w:tcPr>
          <w:p>
            <w:pPr>
              <w:pStyle w:val="10"/>
              <w:spacing w:before="100"/>
              <w:ind w:left="342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3730" w:type="dxa"/>
          </w:tcPr>
          <w:p>
            <w:pPr>
              <w:pStyle w:val="10"/>
              <w:spacing w:before="100"/>
              <w:ind w:left="1602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 容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54" w:type="dxa"/>
          </w:tcPr>
          <w:p>
            <w:pPr>
              <w:pStyle w:val="10"/>
              <w:spacing w:before="100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74" w:type="dxa"/>
          </w:tcPr>
          <w:p>
            <w:pPr>
              <w:pStyle w:val="10"/>
              <w:spacing w:before="100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单价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2177" w:type="dxa"/>
          </w:tcPr>
          <w:p>
            <w:pPr>
              <w:pStyle w:val="10"/>
              <w:spacing w:before="100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金额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87" w:type="dxa"/>
          </w:tcPr>
          <w:p>
            <w:pPr>
              <w:pStyle w:val="10"/>
              <w:spacing w:before="103"/>
              <w:ind w:left="340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30" w:type="dxa"/>
          </w:tcPr>
          <w:p>
            <w:pPr>
              <w:pStyle w:val="10"/>
              <w:spacing w:before="103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网闸</w:t>
            </w:r>
          </w:p>
        </w:tc>
        <w:tc>
          <w:tcPr>
            <w:tcW w:w="854" w:type="dxa"/>
          </w:tcPr>
          <w:p>
            <w:pPr>
              <w:pStyle w:val="10"/>
              <w:spacing w:before="103"/>
              <w:ind w:left="108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74" w:type="dxa"/>
          </w:tcPr>
          <w:p>
            <w:pPr>
              <w:pStyle w:val="10"/>
              <w:spacing w:before="10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>
            <w:pPr>
              <w:pStyle w:val="10"/>
              <w:spacing w:before="10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pStyle w:val="4"/>
        <w:ind w:left="688"/>
      </w:pPr>
      <w:r>
        <w:t xml:space="preserve"> 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sectPr>
          <w:headerReference r:id="rId4" w:type="default"/>
          <w:pgSz w:w="11910" w:h="16850"/>
          <w:pgMar w:top="1380" w:right="840" w:bottom="280" w:left="1580" w:header="740" w:footer="0" w:gutter="0"/>
        </w:sectPr>
      </w:pPr>
    </w:p>
    <w:p/>
    <w:sectPr>
      <w:pgSz w:w="11910" w:h="16850"/>
      <w:pgMar w:top="1380" w:right="840" w:bottom="280" w:left="1580" w:header="74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622935</wp:posOffset>
              </wp:positionV>
              <wp:extent cx="575437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37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8.45pt;margin-top:49.05pt;height:0pt;width:453.1pt;mso-position-horizontal-relative:page;mso-position-vertical-relative:page;z-index:-8192;mso-width-relative:page;mso-height-relative:page;" filled="f" stroked="t" coordsize="21600,21600" o:gfxdata="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0NU1tYAAAAKAQAADwAAAAAAAAABACAAAAAiAAAAZHJz&#10;L2Rvd25yZXYueG1sUEsBAhQAFAAAAAgAh07iQN+NVsLNAQAAjQMAAA4AAAAAAAAAAQAgAAAAJQEA&#10;AGRycy9lMm9Eb2MueG1sUEsFBgAAAAAGAAYAWQEAAGQ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2901315</wp:posOffset>
              </wp:positionH>
              <wp:positionV relativeFrom="page">
                <wp:posOffset>456565</wp:posOffset>
              </wp:positionV>
              <wp:extent cx="219773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 xml:space="preserve">安徽中医药大学第三附属医院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LIS </w:t>
                          </w:r>
                          <w:r>
                            <w:rPr>
                              <w:sz w:val="18"/>
                            </w:rPr>
                            <w:t>系统项目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45pt;margin-top:35.95pt;height:12pt;width:173.05pt;mso-position-horizontal-relative:page;mso-position-vertical-relative:page;z-index:-8192;mso-width-relative:page;mso-height-relative:page;" filled="f" stroked="f" coordsize="21600,21600" o:gfxdata="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jP8Os2QAAAAkB&#10;AAAPAAAAAAAAAAEAIAAAACIAAABkcnMvZG93bnJldi54bWxQSwECFAAUAAAACACHTuJASe7XJ6gB&#10;AAAtAwAADgAAAAAAAAABACAAAAAo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 xml:space="preserve">安徽中医药大学第三附属医院 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LIS </w:t>
                    </w:r>
                    <w:r>
                      <w:rPr>
                        <w:sz w:val="18"/>
                      </w:rPr>
                      <w:t>系统项目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622935</wp:posOffset>
              </wp:positionV>
              <wp:extent cx="5754370" cy="0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37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88.45pt;margin-top:49.05pt;height:0pt;width:453.1pt;mso-position-horizontal-relative:page;mso-position-vertical-relative:page;z-index:-8192;mso-width-relative:page;mso-height-relative:page;" filled="f" stroked="t" coordsize="21600,21600" o:gfxdata="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NDVNbWAAAACgEAAA8AAAAAAAAAAQAgAAAAIgAAAGRy&#10;cy9kb3ducmV2LnhtbFBLAQIUABQAAAAIAIdO4kDNP7sMzgEAAI0DAAAOAAAAAAAAAAEAIAAAACUB&#10;AABkcnMvZTJvRG9jLnhtbFBLBQYAAAAABgAGAFkBAABlBQAA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2672715</wp:posOffset>
              </wp:positionH>
              <wp:positionV relativeFrom="page">
                <wp:posOffset>456565</wp:posOffset>
              </wp:positionV>
              <wp:extent cx="2654935" cy="1524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/>
                            <w:ind w:right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45pt;margin-top:35.95pt;height:12pt;width:209.05pt;mso-position-horizontal-relative:page;mso-position-vertical-relative:page;z-index:-8192;mso-width-relative:page;mso-height-relative:page;" filled="f" stroked="f" coordsize="21600,21600" o:gfxdata="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3+U3NkAAAAJ&#10;AQAADwAAAAAAAAABACAAAAAiAAAAZHJzL2Rvd25yZXYueG1sUEsBAhQAFAAAAAgAh07iQJbDrmCp&#10;AQAALQMAAA4AAAAAAAAAAQAgAAAAK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/>
                      <w:ind w:right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218" w:hanging="214"/>
      </w:pPr>
      <w:rPr>
        <w:rFonts w:hint="default" w:ascii="宋体" w:hAnsi="宋体" w:eastAsia="宋体" w:cs="宋体"/>
        <w:b/>
        <w:bCs/>
        <w:spacing w:val="2"/>
        <w:w w:val="100"/>
        <w:sz w:val="19"/>
        <w:szCs w:val="19"/>
        <w:lang w:val="zh-CN" w:eastAsia="zh-CN" w:bidi="zh-CN"/>
      </w:rPr>
    </w:lvl>
    <w:lvl w:ilvl="1" w:tentative="0">
      <w:start w:val="1"/>
      <w:numFmt w:val="decimal"/>
      <w:lvlText w:val="（%2）"/>
      <w:lvlJc w:val="left"/>
      <w:pPr>
        <w:ind w:left="1289" w:hanging="601"/>
        <w:jc w:val="left"/>
      </w:pPr>
      <w:rPr>
        <w:rFonts w:hint="default" w:ascii="宋体" w:hAnsi="宋体" w:eastAsia="宋体" w:cs="宋体"/>
        <w:spacing w:val="-60"/>
        <w:w w:val="99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9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03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5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27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9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0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62" w:hanging="601"/>
      </w:pPr>
      <w:rPr>
        <w:rFonts w:hint="default"/>
        <w:lang w:val="zh-CN" w:eastAsia="zh-CN" w:bidi="zh-CN"/>
      </w:rPr>
    </w:lvl>
  </w:abstractNum>
  <w:abstractNum w:abstractNumId="1">
    <w:nsid w:val="3A52E01D"/>
    <w:multiLevelType w:val="singleLevel"/>
    <w:tmpl w:val="3A52E0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EC3CDB"/>
    <w:multiLevelType w:val="singleLevel"/>
    <w:tmpl w:val="3AEC3CD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835C0F"/>
    <w:multiLevelType w:val="singleLevel"/>
    <w:tmpl w:val="47835C0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6A1F"/>
    <w:rsid w:val="1CDB1947"/>
    <w:rsid w:val="38133109"/>
    <w:rsid w:val="499967E6"/>
    <w:rsid w:val="51E068F3"/>
    <w:rsid w:val="67ED5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left="3062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0"/>
      <w:ind w:left="218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0"/>
      <w:ind w:left="21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50"/>
      <w:ind w:left="683" w:hanging="601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2018-07-06T01:58:00Z</dcterms:created>
  <dc:creator>jczb</dc:creator>
  <cp:lastModifiedBy>青春，</cp:lastModifiedBy>
  <dcterms:modified xsi:type="dcterms:W3CDTF">2018-07-16T07:17:58Z</dcterms:modified>
  <dc:title>铜陵有色金属集团控股有限公司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  <property fmtid="{D5CDD505-2E9C-101B-9397-08002B2CF9AE}" pid="5" name="KSOProductBuildVer">
    <vt:lpwstr>2052-10.1.0.7400</vt:lpwstr>
  </property>
</Properties>
</file>