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78404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临时起搏器通用招标技术参数表</w:t>
      </w:r>
      <w:bookmarkStart w:id="0" w:name="_GoBack"/>
      <w:bookmarkEnd w:id="0"/>
    </w:p>
    <w:p w14:paraId="385802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参数说明：本参数严格依据行业通用标准制定，开放式无排他性，可同时满足美敦力、百多力、雅培、乐普、微创等三家及以上主流品牌响应，符合各级医院设备采购、院内论证、公开招标使用要求。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45D7842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179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A525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参数类别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E63B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技术参数要求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19883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671CD4E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794E5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AA7A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基础起搏模式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C1B1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支持AAI、AOO、VVI、VOO基础起搏模式，满足临床常规临时起搏需求。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29CE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6A41D97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1DDFA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4BF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拓展起搏功能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1127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具备快速心房起搏（RAP）功能，适配电生理检查及心律失常诊疗。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735D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449C9B2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9F04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88F8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基础起搏频率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595B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起搏频率可调范围30～200ppm，连续可调，适配各类临床起搏场景。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5E1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5284A65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159D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8D3C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快速心房起搏频率（RAP）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D3C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快速心房起搏频率可调范围30～1000ppm，满足电生理超速起搏诊疗需求。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B735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6A071E2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FB597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3FC5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输出方式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482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支持恒定电流、恒定电压双输出模式，输出稳定，适配不同患者心肌起搏条件。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29B9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3029DA4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83A1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2449F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输出脉冲幅度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BB26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脉冲幅度可调范围0.1～25mA或0.1～10V，可根据患者起搏阈值精准调节，保障起搏有效稳定。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0C4B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0A89276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F996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569F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脉冲宽度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069A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脉冲宽度可调范围0.06～2.0ms，适配不同心肌状态的阈值测试与个体化起搏治疗。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ED52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5B6CB7B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4D6A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1847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输入阻抗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A7AF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设备输入阻抗≥40KΩ，心电信号采集精准，抗干扰能力强。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6CE0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6076509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0F9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DD99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感知灵敏度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7D92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感知灵敏度可调范围0.5～20mV，精准识别心电信号，杜绝误感知、漏感知，保障起搏稳定。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F40E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6420370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227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7BB5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空白期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09D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空白期可调范围120～200ms，有效规避交叉感知，减少起搏异常风险。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D5DD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209F15C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4E59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11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9181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频率上限（非RAP）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44E5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常规起搏模式频率上限≤220ppm，符合临床安全起搏标准。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0C4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49828B5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C0D8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BC81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设备额定标准值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79FD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设备额定参数：起搏频率70ppm、脉冲幅度5.0V、脉冲宽度1.5ms、感知灵敏度2.0mV、RAP频率400ppm。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EFCE6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40DE2E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FE6C3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6A1DF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电池类型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5797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采用两节LR6型（AA型）1.5V碱性电池供电，采购便捷、通用性强。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5EFA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558345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F18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5675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电池使用寿命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F439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标准工况下电池连续使用寿命≥20天，满足长期床边起搏使用需求。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8903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1AE21F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2117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D5DE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断电续航能力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02E6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取出电池后设备可持续运行≥80秒，有效规避起搏中断风险。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83C8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2F8BBEA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C52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16C0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屏幕配置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4193B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配备≥2.7英寸显示屏，画面清晰，适配临床床边观测与操作。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5D35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27C4D6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31CE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17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D27E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显示内容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0533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可实时显示心率、心室输出、工作模式、电池状态、腔内心电图等核心参数。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D8F6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222A98C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2E4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9DEF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状态指示灯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8C35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配备独立起搏、感知指示灯，设备运行状态直观可视。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9A923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13FF94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93C2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19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721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自检功能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BBAD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支持开机全自动自检，排查设备故障，保障开机安全使用。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58C6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7264348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5CA1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DD91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智能自动功能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72CA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具备噪声反转、空白期反转功能，自动抵御外界干扰，稳定起搏节律。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23E0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2D6549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F61C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21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344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安全防护性能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93F8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具备除颤保护、静电保护功能，可耐受术中除颤操作，设备运行稳定可靠。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423E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11E781C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F63A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22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FDA2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辅助功能配置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3370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配备起搏状态栏、锁屏、LED背景灯、故障声光报警等功能，适配全天候临床操作。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CB63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常规项</w:t>
            </w:r>
          </w:p>
        </w:tc>
      </w:tr>
      <w:tr w14:paraId="564970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0C52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B893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售后质保要求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D64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1、整机免费质保不少于2年，含主机、连接电缆等全套配件；2、厂家提供终身技术支持及维护，故障快速上门响应；3、免费提供设备操作培训及临床应用指导。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5AB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商务要求</w:t>
            </w:r>
          </w:p>
        </w:tc>
      </w:tr>
      <w:tr w14:paraId="076A6D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BB71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8807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品牌兼容性说明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D3CE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本参数为通用开放式参数，无品牌排他性，兼容美敦力、百多力、雅培、乐普、微创等主流品牌，满足三家及以上品牌投标响应要求。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3CE9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合规说明</w:t>
            </w:r>
          </w:p>
        </w:tc>
      </w:tr>
    </w:tbl>
    <w:p w14:paraId="18B0882C">
      <w:pPr>
        <w:spacing w:before="120" w:after="120" w:line="288" w:lineRule="auto"/>
        <w:ind w:left="0"/>
        <w:jc w:val="left"/>
      </w:pPr>
    </w:p>
    <w:p w14:paraId="755646E0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BCA0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3C6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ECA3F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1173</Words>
  <Characters>1290</Characters>
  <TotalTime>0</TotalTime>
  <ScaleCrop>false</ScaleCrop>
  <LinksUpToDate>false</LinksUpToDate>
  <CharactersWithSpaces>1292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2026-08-28T00:00:00Z</dcterms:created>
  <dc:creator>Apache POI</dc:creator>
  <cp:lastModifiedBy>芋头</cp:lastModifiedBy>
  <dcterms:modified xsi:type="dcterms:W3CDTF">2026-08-28T00:01:09Z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{"Label":"1","ContentProducer":"001191110102MACQD9K64010000","ProduceID":"7678865372484914459","ReservedCode1":"","ContentPropagator":"","PropagateID":"","ReservedCode2":""}</vt:lpwstr>
  </property>
  <property fmtid="{D5CDD505-2E9C-101B-9397-08002B2CF9AE}" pid="3" name="KSOTemplateDocerSaveRecord">
    <vt:lpwstr>eyJoZGlkIjoiZjY1Zjg4NDVjZDMwZjRkZjRlZWNmN2E4MzkxOGY1MTIiLCJ1c2VySWQiOiIzNzkyMjgwMzIifQ==</vt:lpwstr>
  </property>
  <property fmtid="{D5CDD505-2E9C-101B-9397-08002B2CF9AE}" pid="4" name="KSOProductBuildVer">
    <vt:lpwstr>2052-12.1.0.28043</vt:lpwstr>
  </property>
  <property fmtid="{D5CDD505-2E9C-101B-9397-08002B2CF9AE}" pid="5" name="ICV">
    <vt:lpwstr>4EAC2C59484F4687B50B8AA1F8E0B31D_12</vt:lpwstr>
  </property>
</Properties>
</file>