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42CC9">
      <w:pPr>
        <w:jc w:val="center"/>
        <w:rPr>
          <w:rFonts w:hint="default" w:eastAsiaTheme="minorEastAsia"/>
          <w:b/>
          <w:sz w:val="28"/>
          <w:szCs w:val="28"/>
          <w:lang w:val="en-US" w:eastAsia="zh-CN"/>
        </w:rPr>
      </w:pPr>
      <w:r>
        <w:rPr>
          <w:rFonts w:hint="eastAsia"/>
          <w:b/>
          <w:sz w:val="28"/>
          <w:szCs w:val="28"/>
        </w:rPr>
        <w:t>人体成分分析仪</w:t>
      </w:r>
      <w:r>
        <w:rPr>
          <w:rFonts w:hint="eastAsia"/>
          <w:b/>
          <w:sz w:val="28"/>
          <w:szCs w:val="28"/>
          <w:lang w:eastAsia="zh-CN"/>
        </w:rPr>
        <w:t>（</w:t>
      </w:r>
      <w:r>
        <w:rPr>
          <w:rFonts w:hint="eastAsia"/>
          <w:b/>
          <w:sz w:val="28"/>
          <w:szCs w:val="28"/>
          <w:lang w:val="en-US" w:eastAsia="zh-CN"/>
        </w:rPr>
        <w:t>含营养分析系统）技术参数</w:t>
      </w:r>
    </w:p>
    <w:p w14:paraId="46B3A58E">
      <w:pPr>
        <w:spacing w:line="360" w:lineRule="auto"/>
        <w:rPr>
          <w:rFonts w:hint="eastAsia" w:ascii="宋体" w:hAnsi="宋体"/>
          <w:b/>
          <w:bCs/>
          <w:sz w:val="24"/>
        </w:rPr>
      </w:pPr>
      <w:r>
        <w:rPr>
          <w:rFonts w:hint="eastAsia" w:ascii="宋体" w:hAnsi="宋体"/>
          <w:b/>
          <w:bCs/>
          <w:sz w:val="24"/>
        </w:rPr>
        <w:t>一、设备简述：</w:t>
      </w:r>
    </w:p>
    <w:p w14:paraId="741D1D42">
      <w:pPr>
        <w:spacing w:line="360" w:lineRule="auto"/>
        <w:rPr>
          <w:rFonts w:hint="eastAsia" w:ascii="宋体" w:hAnsi="宋体"/>
          <w:sz w:val="24"/>
        </w:rPr>
      </w:pPr>
      <w:r>
        <w:rPr>
          <w:rFonts w:hint="eastAsia" w:ascii="宋体" w:hAnsi="宋体"/>
          <w:sz w:val="24"/>
        </w:rPr>
        <w:t>1、测量原理：采用多频率生物电阻抗法，在人体躯干及五个节段(左上肢，右上肢，左下肢，右下肢，躯干)进行30个阻抗测量。</w:t>
      </w:r>
    </w:p>
    <w:p w14:paraId="2D6837A5">
      <w:pPr>
        <w:spacing w:line="360" w:lineRule="auto"/>
        <w:rPr>
          <w:rFonts w:hint="eastAsia" w:ascii="宋体" w:hAnsi="宋体"/>
          <w:sz w:val="24"/>
        </w:rPr>
      </w:pPr>
      <w:r>
        <w:rPr>
          <w:rFonts w:hint="eastAsia" w:ascii="宋体" w:hAnsi="宋体"/>
          <w:sz w:val="24"/>
        </w:rPr>
        <w:t>2、测量方式：多频率生物电阻抗法（BIA法）</w:t>
      </w:r>
    </w:p>
    <w:p w14:paraId="6BCD9196">
      <w:pPr>
        <w:spacing w:line="360" w:lineRule="auto"/>
        <w:rPr>
          <w:rFonts w:hint="eastAsia" w:ascii="宋体" w:hAnsi="宋体"/>
          <w:sz w:val="24"/>
        </w:rPr>
      </w:pPr>
      <w:r>
        <w:rPr>
          <w:rFonts w:hint="eastAsia" w:ascii="宋体" w:hAnsi="宋体"/>
          <w:sz w:val="24"/>
        </w:rPr>
        <w:t>3、测量频率：1kHz，5kHz，50kHz，250kHz，500kHz，1000kHz</w:t>
      </w:r>
    </w:p>
    <w:p w14:paraId="38DB5879">
      <w:pPr>
        <w:spacing w:line="360" w:lineRule="auto"/>
        <w:rPr>
          <w:rFonts w:ascii="宋体" w:hAnsi="宋体"/>
          <w:sz w:val="24"/>
        </w:rPr>
      </w:pPr>
      <w:r>
        <w:rPr>
          <w:rFonts w:hint="eastAsia" w:ascii="宋体" w:hAnsi="宋体"/>
          <w:sz w:val="24"/>
        </w:rPr>
        <w:t>4、测量阻抗：20-1200欧，精确度在±3%之内</w:t>
      </w:r>
    </w:p>
    <w:p w14:paraId="55E0A82F">
      <w:pPr>
        <w:spacing w:line="360" w:lineRule="auto"/>
        <w:rPr>
          <w:rFonts w:hint="eastAsia" w:ascii="宋体" w:hAnsi="宋体"/>
          <w:sz w:val="24"/>
        </w:rPr>
      </w:pPr>
      <w:r>
        <w:rPr>
          <w:rFonts w:hint="eastAsia" w:ascii="宋体" w:hAnsi="宋体"/>
          <w:sz w:val="24"/>
        </w:rPr>
        <w:t>5、测量电极：四极8点接触式电极</w:t>
      </w:r>
    </w:p>
    <w:p w14:paraId="1C7EB5CF">
      <w:pPr>
        <w:spacing w:line="360" w:lineRule="auto"/>
        <w:rPr>
          <w:rFonts w:hint="eastAsia" w:ascii="宋体" w:hAnsi="宋体"/>
          <w:sz w:val="24"/>
        </w:rPr>
      </w:pPr>
      <w:r>
        <w:rPr>
          <w:rFonts w:ascii="宋体" w:hAnsi="宋体"/>
          <w:sz w:val="24"/>
        </w:rPr>
        <w:t>6</w:t>
      </w:r>
      <w:r>
        <w:rPr>
          <w:rFonts w:hint="eastAsia" w:ascii="宋体" w:hAnsi="宋体"/>
          <w:sz w:val="24"/>
        </w:rPr>
        <w:t>、测量体重：5-250KG，精确度在±0.2kg之内。</w:t>
      </w:r>
    </w:p>
    <w:p w14:paraId="5F27CBA0">
      <w:pPr>
        <w:spacing w:line="360" w:lineRule="auto"/>
        <w:rPr>
          <w:rFonts w:ascii="宋体" w:hAnsi="宋体"/>
          <w:sz w:val="24"/>
        </w:rPr>
      </w:pPr>
      <w:r>
        <w:rPr>
          <w:rFonts w:ascii="宋体" w:hAnsi="宋体"/>
          <w:sz w:val="24"/>
        </w:rPr>
        <w:t>7</w:t>
      </w:r>
      <w:r>
        <w:rPr>
          <w:rFonts w:hint="eastAsia" w:ascii="宋体" w:hAnsi="宋体"/>
          <w:sz w:val="24"/>
        </w:rPr>
        <w:t>、身高范围：90-220cm</w:t>
      </w:r>
    </w:p>
    <w:p w14:paraId="2B830AC6">
      <w:pPr>
        <w:spacing w:line="360" w:lineRule="auto"/>
        <w:rPr>
          <w:rFonts w:hint="default" w:ascii="宋体" w:hAnsi="宋体" w:eastAsia="宋体"/>
          <w:sz w:val="24"/>
          <w:lang w:val="en-US" w:eastAsia="zh-CN"/>
        </w:rPr>
      </w:pPr>
      <w:r>
        <w:rPr>
          <w:rFonts w:ascii="宋体" w:hAnsi="宋体"/>
          <w:sz w:val="24"/>
        </w:rPr>
        <w:t>8</w:t>
      </w:r>
      <w:r>
        <w:rPr>
          <w:rFonts w:hint="eastAsia" w:ascii="宋体" w:hAnsi="宋体"/>
          <w:sz w:val="24"/>
        </w:rPr>
        <w:t>、年龄支持范围：</w:t>
      </w:r>
      <w:r>
        <w:rPr>
          <w:rFonts w:hint="eastAsia" w:ascii="宋体" w:hAnsi="宋体"/>
          <w:b/>
          <w:bCs/>
          <w:sz w:val="24"/>
          <w:lang w:val="en-US" w:eastAsia="zh-CN"/>
        </w:rPr>
        <w:t>≥</w:t>
      </w:r>
      <w:r>
        <w:rPr>
          <w:rFonts w:hint="eastAsia" w:ascii="宋体" w:hAnsi="宋体"/>
          <w:sz w:val="24"/>
        </w:rPr>
        <w:t>1-99岁</w:t>
      </w:r>
      <w:r>
        <w:rPr>
          <w:rFonts w:hint="eastAsia" w:ascii="宋体" w:hAnsi="宋体"/>
          <w:sz w:val="24"/>
          <w:lang w:eastAsia="zh-CN"/>
        </w:rPr>
        <w:t>（</w:t>
      </w:r>
      <w:r>
        <w:rPr>
          <w:rFonts w:hint="eastAsia" w:ascii="宋体" w:hAnsi="宋体"/>
          <w:sz w:val="24"/>
          <w:lang w:val="en-US" w:eastAsia="zh-CN"/>
        </w:rPr>
        <w:t>提供证明材料）</w:t>
      </w:r>
    </w:p>
    <w:p w14:paraId="296DDD21">
      <w:pPr>
        <w:spacing w:line="360" w:lineRule="auto"/>
        <w:rPr>
          <w:rFonts w:hint="eastAsia" w:ascii="宋体" w:hAnsi="宋体"/>
          <w:sz w:val="24"/>
        </w:rPr>
      </w:pPr>
      <w:r>
        <w:rPr>
          <w:rFonts w:hint="eastAsia" w:ascii="宋体" w:hAnsi="宋体"/>
          <w:sz w:val="24"/>
        </w:rPr>
        <w:t>9、显示屏幕：</w:t>
      </w:r>
      <w:r>
        <w:rPr>
          <w:rFonts w:hint="eastAsia" w:ascii="宋体" w:hAnsi="宋体"/>
          <w:b/>
          <w:bCs/>
          <w:sz w:val="24"/>
          <w:lang w:val="en-US" w:eastAsia="zh-CN"/>
        </w:rPr>
        <w:t>≥</w:t>
      </w:r>
      <w:r>
        <w:rPr>
          <w:rFonts w:hint="eastAsia" w:ascii="宋体" w:hAnsi="宋体"/>
          <w:sz w:val="24"/>
        </w:rPr>
        <w:t>10.4"液晶屏，高分辨率1024*768，16.2M 真彩色</w:t>
      </w:r>
    </w:p>
    <w:p w14:paraId="45FD96A0">
      <w:pPr>
        <w:spacing w:line="360" w:lineRule="auto"/>
        <w:rPr>
          <w:rFonts w:ascii="宋体" w:hAnsi="宋体"/>
          <w:sz w:val="24"/>
        </w:rPr>
      </w:pPr>
      <w:r>
        <w:rPr>
          <w:rFonts w:ascii="宋体" w:hAnsi="宋体"/>
          <w:sz w:val="24"/>
        </w:rPr>
        <w:t>10</w:t>
      </w:r>
      <w:r>
        <w:rPr>
          <w:rFonts w:hint="eastAsia" w:ascii="宋体" w:hAnsi="宋体"/>
          <w:sz w:val="24"/>
        </w:rPr>
        <w:t>、报告格式：普通A4报告纸，专用模板打印报告纸。</w:t>
      </w:r>
    </w:p>
    <w:p w14:paraId="2A803757">
      <w:pPr>
        <w:spacing w:line="360" w:lineRule="auto"/>
        <w:rPr>
          <w:rFonts w:hint="eastAsia" w:ascii="宋体" w:hAnsi="宋体"/>
          <w:sz w:val="24"/>
        </w:rPr>
      </w:pPr>
      <w:r>
        <w:rPr>
          <w:rFonts w:hint="eastAsia" w:ascii="宋体" w:hAnsi="宋体"/>
          <w:sz w:val="24"/>
        </w:rPr>
        <w:t>1</w:t>
      </w:r>
      <w:r>
        <w:rPr>
          <w:rFonts w:ascii="宋体" w:hAnsi="宋体"/>
          <w:sz w:val="24"/>
        </w:rPr>
        <w:t>1</w:t>
      </w:r>
      <w:r>
        <w:rPr>
          <w:rFonts w:hint="eastAsia" w:ascii="宋体" w:hAnsi="宋体"/>
          <w:sz w:val="24"/>
        </w:rPr>
        <w:t>、测量时间：1分钟以内</w:t>
      </w:r>
    </w:p>
    <w:p w14:paraId="22463813">
      <w:pPr>
        <w:spacing w:line="360" w:lineRule="auto"/>
        <w:rPr>
          <w:rFonts w:ascii="宋体" w:hAnsi="宋体"/>
          <w:b/>
          <w:bCs/>
          <w:sz w:val="24"/>
        </w:rPr>
      </w:pPr>
      <w:r>
        <w:rPr>
          <w:rFonts w:hint="eastAsia" w:ascii="宋体" w:hAnsi="宋体"/>
          <w:b/>
          <w:bCs/>
          <w:sz w:val="24"/>
        </w:rPr>
        <w:t>二、设备检测指标：</w:t>
      </w:r>
    </w:p>
    <w:p w14:paraId="7599400F">
      <w:pPr>
        <w:spacing w:line="360" w:lineRule="auto"/>
        <w:rPr>
          <w:rFonts w:ascii="宋体" w:hAnsi="宋体"/>
          <w:b/>
          <w:bCs/>
          <w:sz w:val="24"/>
        </w:rPr>
      </w:pPr>
      <w:r>
        <w:rPr>
          <w:rFonts w:ascii="宋体" w:hAnsi="宋体"/>
          <w:b/>
          <w:bCs/>
          <w:sz w:val="24"/>
        </w:rPr>
        <w:t>1</w:t>
      </w:r>
      <w:r>
        <w:rPr>
          <w:rFonts w:hint="eastAsia" w:ascii="宋体" w:hAnsi="宋体"/>
          <w:b/>
          <w:bCs/>
          <w:sz w:val="24"/>
        </w:rPr>
        <w:t>、通用报告类型：</w:t>
      </w:r>
      <w:r>
        <w:rPr>
          <w:rFonts w:hint="eastAsia" w:ascii="宋体" w:hAnsi="宋体"/>
          <w:sz w:val="24"/>
        </w:rPr>
        <w:t>人体成分报告、水分报告、身体围度报告、运动营养报告、儿童报告及综合报告，计6张报告。各打印报告支持在后台设置是否输出。</w:t>
      </w:r>
    </w:p>
    <w:p w14:paraId="446D8D23">
      <w:pPr>
        <w:numPr>
          <w:ilvl w:val="0"/>
          <w:numId w:val="0"/>
        </w:numPr>
        <w:spacing w:line="360" w:lineRule="auto"/>
        <w:ind w:leftChars="0"/>
        <w:rPr>
          <w:rFonts w:ascii="宋体" w:hAnsi="宋体"/>
          <w:b/>
          <w:bCs/>
          <w:sz w:val="24"/>
        </w:rPr>
      </w:pPr>
      <w:r>
        <w:rPr>
          <w:rFonts w:hint="eastAsia" w:ascii="宋体" w:hAnsi="宋体" w:cs="宋体"/>
          <w:sz w:val="24"/>
          <w:lang w:val="en-US" w:eastAsia="zh-CN"/>
        </w:rPr>
        <w:t>2、</w:t>
      </w:r>
      <w:r>
        <w:rPr>
          <w:rFonts w:hint="eastAsia" w:ascii="宋体" w:hAnsi="宋体"/>
          <w:b/>
          <w:bCs/>
          <w:sz w:val="24"/>
        </w:rPr>
        <w:t>支持</w:t>
      </w:r>
      <w:r>
        <w:rPr>
          <w:rFonts w:hint="eastAsia" w:ascii="宋体" w:hAnsi="宋体"/>
          <w:b/>
          <w:bCs/>
          <w:sz w:val="24"/>
          <w:lang w:val="en-US" w:eastAsia="zh-CN"/>
        </w:rPr>
        <w:t>≥3</w:t>
      </w:r>
      <w:r>
        <w:rPr>
          <w:rFonts w:hint="eastAsia" w:ascii="宋体" w:hAnsi="宋体"/>
          <w:b/>
          <w:bCs/>
          <w:sz w:val="24"/>
        </w:rPr>
        <w:t>种模式</w:t>
      </w:r>
      <w:r>
        <w:rPr>
          <w:rFonts w:hint="eastAsia" w:ascii="宋体" w:hAnsi="宋体"/>
          <w:b/>
          <w:bCs/>
          <w:sz w:val="24"/>
          <w:lang w:eastAsia="zh-CN"/>
        </w:rPr>
        <w:t>（</w:t>
      </w:r>
      <w:r>
        <w:rPr>
          <w:rFonts w:hint="eastAsia" w:ascii="宋体" w:hAnsi="宋体"/>
          <w:b/>
          <w:bCs/>
          <w:sz w:val="24"/>
          <w:lang w:val="en-US" w:eastAsia="zh-CN"/>
        </w:rPr>
        <w:t>提供≥3种模式和≥7张报告单证明）</w:t>
      </w:r>
      <w:r>
        <w:rPr>
          <w:rFonts w:hint="eastAsia" w:ascii="宋体" w:hAnsi="宋体"/>
          <w:b/>
          <w:bCs/>
          <w:sz w:val="24"/>
        </w:rPr>
        <w:t>：</w:t>
      </w:r>
    </w:p>
    <w:p w14:paraId="1FEDB4B3">
      <w:pPr>
        <w:numPr>
          <w:ilvl w:val="0"/>
          <w:numId w:val="1"/>
        </w:numPr>
        <w:spacing w:line="360" w:lineRule="auto"/>
        <w:rPr>
          <w:rFonts w:ascii="宋体" w:hAnsi="宋体"/>
          <w:sz w:val="24"/>
        </w:rPr>
      </w:pPr>
      <w:r>
        <w:rPr>
          <w:rFonts w:hint="eastAsia" w:ascii="宋体" w:hAnsi="宋体"/>
          <w:sz w:val="24"/>
        </w:rPr>
        <w:t xml:space="preserve">普通模式（通用报告）：输出以上通用报告。 </w:t>
      </w:r>
    </w:p>
    <w:p w14:paraId="726B8C96">
      <w:pPr>
        <w:numPr>
          <w:ilvl w:val="0"/>
          <w:numId w:val="1"/>
        </w:numPr>
        <w:spacing w:line="360" w:lineRule="auto"/>
        <w:rPr>
          <w:rFonts w:ascii="宋体" w:hAnsi="宋体"/>
          <w:sz w:val="24"/>
        </w:rPr>
      </w:pPr>
      <w:r>
        <w:rPr>
          <w:rFonts w:hint="eastAsia" w:ascii="宋体" w:hAnsi="宋体"/>
          <w:sz w:val="24"/>
        </w:rPr>
        <w:t xml:space="preserve">多余水模式：输出人体多余水分专用报告。 </w:t>
      </w:r>
    </w:p>
    <w:p w14:paraId="70869FD5">
      <w:pPr>
        <w:numPr>
          <w:ilvl w:val="0"/>
          <w:numId w:val="1"/>
        </w:numPr>
        <w:spacing w:line="360" w:lineRule="auto"/>
        <w:rPr>
          <w:rFonts w:ascii="宋体" w:hAnsi="宋体"/>
          <w:sz w:val="24"/>
        </w:rPr>
      </w:pPr>
      <w:r>
        <w:rPr>
          <w:rFonts w:hint="eastAsia" w:ascii="宋体" w:hAnsi="宋体"/>
          <w:sz w:val="24"/>
        </w:rPr>
        <w:t xml:space="preserve">专业模式 </w:t>
      </w:r>
      <w:r>
        <w:rPr>
          <w:rFonts w:ascii="宋体" w:hAnsi="宋体"/>
          <w:sz w:val="24"/>
        </w:rPr>
        <w:t xml:space="preserve">: </w:t>
      </w:r>
      <w:r>
        <w:rPr>
          <w:rFonts w:hint="eastAsia" w:ascii="宋体" w:hAnsi="宋体"/>
          <w:sz w:val="24"/>
        </w:rPr>
        <w:t>在普通模式的基础上，输出普通模式报告</w:t>
      </w:r>
      <w:r>
        <w:rPr>
          <w:rFonts w:ascii="宋体" w:hAnsi="宋体"/>
          <w:sz w:val="24"/>
        </w:rPr>
        <w:t>+</w:t>
      </w:r>
      <w:r>
        <w:rPr>
          <w:rFonts w:hint="eastAsia" w:ascii="宋体" w:hAnsi="宋体"/>
          <w:sz w:val="24"/>
        </w:rPr>
        <w:t>水分报告。</w:t>
      </w:r>
    </w:p>
    <w:p w14:paraId="1D44C34A">
      <w:pPr>
        <w:spacing w:line="360" w:lineRule="auto"/>
        <w:rPr>
          <w:rFonts w:hint="eastAsia" w:ascii="宋体" w:hAnsi="宋体"/>
          <w:sz w:val="24"/>
        </w:rPr>
      </w:pPr>
      <w:r>
        <w:rPr>
          <w:rFonts w:hint="eastAsia" w:ascii="宋体" w:hAnsi="宋体"/>
          <w:sz w:val="24"/>
        </w:rPr>
        <w:t>4）整机合计7张报告。</w:t>
      </w:r>
    </w:p>
    <w:p w14:paraId="2E62CD5B">
      <w:pPr>
        <w:spacing w:line="360" w:lineRule="auto"/>
        <w:rPr>
          <w:rFonts w:ascii="宋体" w:hAnsi="宋体"/>
          <w:b/>
          <w:bCs/>
          <w:sz w:val="24"/>
        </w:rPr>
      </w:pPr>
      <w:r>
        <w:rPr>
          <w:rFonts w:hint="eastAsia" w:ascii="宋体" w:hAnsi="宋体"/>
          <w:b/>
          <w:bCs/>
          <w:sz w:val="24"/>
        </w:rPr>
        <w:t>3、输出指标（成人人体成分报告）：</w:t>
      </w:r>
    </w:p>
    <w:p w14:paraId="2DE9F0FB">
      <w:pPr>
        <w:spacing w:line="360" w:lineRule="auto"/>
        <w:rPr>
          <w:rFonts w:hint="eastAsia" w:ascii="宋体" w:hAnsi="宋体"/>
          <w:sz w:val="24"/>
        </w:rPr>
      </w:pPr>
      <w:r>
        <w:rPr>
          <w:rFonts w:hint="eastAsia" w:ascii="宋体" w:hAnsi="宋体"/>
          <w:sz w:val="24"/>
        </w:rPr>
        <w:t>1）身体成分分析：细胞内液，细胞外液，总水分，蛋白质，无机盐，体脂肪量，肌肉量，去脂体重，体重及各指标正常参考范围。</w:t>
      </w:r>
    </w:p>
    <w:p w14:paraId="182E9C4D">
      <w:pPr>
        <w:spacing w:line="360" w:lineRule="auto"/>
        <w:rPr>
          <w:rFonts w:hint="eastAsia" w:ascii="宋体" w:hAnsi="宋体"/>
          <w:sz w:val="24"/>
        </w:rPr>
      </w:pPr>
      <w:r>
        <w:rPr>
          <w:rFonts w:hint="eastAsia" w:ascii="宋体" w:hAnsi="宋体"/>
          <w:sz w:val="24"/>
        </w:rPr>
        <w:t>2）肌肉脂肪分析：骨骼肌肉量，体脂肪量及正常参考范围。</w:t>
      </w:r>
    </w:p>
    <w:p w14:paraId="7A3AAFD4">
      <w:pPr>
        <w:tabs>
          <w:tab w:val="left" w:pos="2205"/>
        </w:tabs>
        <w:spacing w:line="360" w:lineRule="auto"/>
        <w:rPr>
          <w:rFonts w:hint="eastAsia" w:ascii="宋体" w:hAnsi="宋体"/>
          <w:sz w:val="24"/>
        </w:rPr>
      </w:pPr>
      <w:r>
        <w:rPr>
          <w:rFonts w:hint="eastAsia" w:ascii="宋体" w:hAnsi="宋体"/>
          <w:sz w:val="24"/>
        </w:rPr>
        <w:t>3）肥胖分析：身体质量指数，体脂肪率，腰臀比，内脏脂肪面积及正常参考范围。</w:t>
      </w:r>
    </w:p>
    <w:p w14:paraId="560CECDF">
      <w:pPr>
        <w:tabs>
          <w:tab w:val="left" w:pos="2205"/>
        </w:tabs>
        <w:spacing w:line="360" w:lineRule="auto"/>
        <w:rPr>
          <w:rFonts w:ascii="宋体" w:hAnsi="宋体"/>
          <w:sz w:val="24"/>
        </w:rPr>
      </w:pPr>
      <w:r>
        <w:rPr>
          <w:rFonts w:hint="eastAsia" w:ascii="宋体" w:hAnsi="宋体"/>
          <w:sz w:val="24"/>
        </w:rPr>
        <w:t>4）节段分析：对左臂、右臂、躯干、左腿、右腿各个节段进行肌肉、脂肪分析</w:t>
      </w:r>
    </w:p>
    <w:p w14:paraId="3BD20EDE">
      <w:pPr>
        <w:tabs>
          <w:tab w:val="left" w:pos="2205"/>
        </w:tabs>
        <w:spacing w:line="360" w:lineRule="auto"/>
        <w:rPr>
          <w:rFonts w:hint="eastAsia" w:ascii="宋体" w:hAnsi="宋体"/>
          <w:sz w:val="24"/>
        </w:rPr>
      </w:pPr>
      <w:r>
        <w:rPr>
          <w:rFonts w:hint="eastAsia" w:ascii="宋体" w:hAnsi="宋体"/>
          <w:sz w:val="24"/>
        </w:rPr>
        <w:t>5）体重控制分析：目标体重，体重控制，肌肉控制，脂肪控制，基础代谢量，总能量消耗，</w:t>
      </w:r>
    </w:p>
    <w:p w14:paraId="05D851EB">
      <w:pPr>
        <w:spacing w:line="360" w:lineRule="auto"/>
        <w:rPr>
          <w:rFonts w:hint="eastAsia" w:ascii="宋体" w:hAnsi="宋体"/>
          <w:sz w:val="24"/>
        </w:rPr>
      </w:pPr>
      <w:r>
        <w:rPr>
          <w:rFonts w:hint="eastAsia" w:ascii="宋体" w:hAnsi="宋体"/>
          <w:sz w:val="24"/>
          <w:lang w:val="en-US" w:eastAsia="zh-CN"/>
        </w:rPr>
        <w:t>6</w:t>
      </w:r>
      <w:r>
        <w:rPr>
          <w:rFonts w:ascii="宋体" w:hAnsi="宋体"/>
          <w:sz w:val="24"/>
        </w:rPr>
        <w:t>)</w:t>
      </w:r>
      <w:r>
        <w:rPr>
          <w:rFonts w:hint="eastAsia" w:ascii="宋体" w:hAnsi="宋体"/>
          <w:sz w:val="24"/>
        </w:rPr>
        <w:t>浮肿指数：包括细胞外液率（ECF/TBF）、细胞外水分率（ECW/TBW），输出左臂、右臂、躯干、左腿及右腿五个节段部位的指标；包括全身细胞外液率、全身细胞外水分率。</w:t>
      </w:r>
    </w:p>
    <w:p w14:paraId="239E344C">
      <w:pPr>
        <w:tabs>
          <w:tab w:val="left" w:pos="2205"/>
        </w:tabs>
        <w:spacing w:line="360" w:lineRule="auto"/>
        <w:rPr>
          <w:rFonts w:hint="eastAsia" w:ascii="宋体" w:hAnsi="宋体"/>
          <w:sz w:val="24"/>
        </w:rPr>
      </w:pPr>
      <w:r>
        <w:rPr>
          <w:rFonts w:hint="eastAsia" w:ascii="宋体" w:hAnsi="宋体"/>
          <w:sz w:val="24"/>
        </w:rPr>
        <w:t>8)营养评估：蛋白质（不足、正常）、无机盐（不足、正常）、体脂肪（不足、正常、超标）进行综合评估。</w:t>
      </w:r>
    </w:p>
    <w:p w14:paraId="6A4D2AB2">
      <w:pPr>
        <w:tabs>
          <w:tab w:val="left" w:pos="2205"/>
        </w:tabs>
        <w:spacing w:line="360" w:lineRule="auto"/>
        <w:rPr>
          <w:rFonts w:hint="eastAsia" w:ascii="宋体" w:hAnsi="宋体"/>
          <w:sz w:val="24"/>
        </w:rPr>
      </w:pPr>
      <w:r>
        <w:rPr>
          <w:rFonts w:hint="eastAsia" w:ascii="宋体" w:hAnsi="宋体"/>
          <w:sz w:val="24"/>
        </w:rPr>
        <w:t>9)肌肉评估：上肢、下肢均衡和发达程度评估。</w:t>
      </w:r>
    </w:p>
    <w:p w14:paraId="1862989B">
      <w:pPr>
        <w:tabs>
          <w:tab w:val="left" w:pos="2205"/>
        </w:tabs>
        <w:spacing w:line="360" w:lineRule="auto"/>
        <w:rPr>
          <w:rFonts w:hint="eastAsia"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)研究项目：</w:t>
      </w:r>
    </w:p>
    <w:p w14:paraId="4A24E04A">
      <w:pPr>
        <w:tabs>
          <w:tab w:val="left" w:pos="2205"/>
        </w:tabs>
        <w:spacing w:line="360" w:lineRule="auto"/>
        <w:ind w:left="283" w:leftChars="135" w:firstLine="283" w:firstLineChars="118"/>
        <w:rPr>
          <w:rFonts w:hint="eastAsia" w:ascii="宋体" w:hAnsi="宋体"/>
          <w:sz w:val="24"/>
        </w:rPr>
      </w:pPr>
      <w:r>
        <w:rPr>
          <w:rFonts w:ascii="宋体" w:hAnsi="宋体"/>
          <w:sz w:val="24"/>
        </w:rPr>
        <w:t>(</w:t>
      </w:r>
      <w:r>
        <w:rPr>
          <w:rFonts w:hint="eastAsia" w:ascii="宋体" w:hAnsi="宋体"/>
          <w:sz w:val="24"/>
        </w:rPr>
        <w:t>1)左上肢、右上肢、左下肢、右下肢、躯干五个部位六个频率的30个阻抗值。</w:t>
      </w:r>
    </w:p>
    <w:p w14:paraId="36CAEDD1">
      <w:pPr>
        <w:tabs>
          <w:tab w:val="left" w:pos="2205"/>
        </w:tabs>
        <w:spacing w:line="360" w:lineRule="auto"/>
        <w:ind w:left="283" w:leftChars="135" w:firstLine="283" w:firstLineChars="118"/>
        <w:rPr>
          <w:rFonts w:hint="eastAsia" w:ascii="宋体" w:hAnsi="宋体"/>
          <w:sz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历史记录：体重、身体质量指数、体脂肪率、骨骼肌近12次历史数据。</w:t>
      </w:r>
    </w:p>
    <w:p w14:paraId="5264D867">
      <w:pPr>
        <w:spacing w:line="360" w:lineRule="auto"/>
        <w:ind w:left="283" w:leftChars="135" w:firstLine="283" w:firstLineChars="118"/>
        <w:rPr>
          <w:rFonts w:hint="eastAsia" w:ascii="宋体" w:hAnsi="宋体"/>
          <w:sz w:val="24"/>
        </w:rPr>
      </w:pPr>
      <w:r>
        <w:rPr>
          <w:rFonts w:ascii="宋体" w:hAnsi="宋体"/>
          <w:sz w:val="24"/>
        </w:rPr>
        <w:t>(</w:t>
      </w:r>
      <w:r>
        <w:rPr>
          <w:rFonts w:hint="eastAsia" w:ascii="宋体" w:hAnsi="宋体"/>
          <w:sz w:val="24"/>
        </w:rPr>
        <w:t>3)基础代谢量（</w:t>
      </w:r>
      <w:r>
        <w:rPr>
          <w:rFonts w:ascii="宋体" w:hAnsi="宋体"/>
          <w:sz w:val="24"/>
        </w:rPr>
        <w:t>BMR</w:t>
      </w:r>
      <w:r>
        <w:rPr>
          <w:rFonts w:hint="eastAsia" w:ascii="宋体" w:hAnsi="宋体"/>
          <w:sz w:val="24"/>
        </w:rPr>
        <w:t>）、</w:t>
      </w:r>
      <w:r>
        <w:rPr>
          <w:rFonts w:ascii="宋体" w:hAnsi="宋体"/>
          <w:sz w:val="24"/>
        </w:rPr>
        <w:t>BCM</w:t>
      </w:r>
      <w:r>
        <w:rPr>
          <w:rFonts w:hint="eastAsia" w:ascii="宋体" w:hAnsi="宋体"/>
          <w:sz w:val="24"/>
        </w:rPr>
        <w:t>（身体细胞量）、水合率（</w:t>
      </w:r>
      <w:r>
        <w:rPr>
          <w:rFonts w:ascii="宋体" w:hAnsi="宋体"/>
          <w:sz w:val="24"/>
        </w:rPr>
        <w:t>TBW/FFM</w:t>
      </w:r>
      <w:r>
        <w:rPr>
          <w:rFonts w:hint="eastAsia" w:ascii="宋体" w:hAnsi="宋体"/>
          <w:sz w:val="24"/>
        </w:rPr>
        <w:t>）、去脂体重指数FFMI、上臂围度AC、上臂肌肉围度AMC等的检测与分析。</w:t>
      </w:r>
    </w:p>
    <w:p w14:paraId="15C23F9D">
      <w:pPr>
        <w:spacing w:line="360" w:lineRule="auto"/>
        <w:ind w:left="283" w:leftChars="135" w:firstLine="283" w:firstLineChars="118"/>
        <w:rPr>
          <w:rFonts w:hint="eastAsia" w:ascii="宋体" w:hAnsi="宋体"/>
          <w:sz w:val="24"/>
        </w:rPr>
      </w:pPr>
      <w:r>
        <w:rPr>
          <w:rFonts w:ascii="宋体" w:hAnsi="宋体"/>
          <w:sz w:val="24"/>
        </w:rPr>
        <w:t>(</w:t>
      </w:r>
      <w:r>
        <w:rPr>
          <w:rFonts w:hint="eastAsia" w:ascii="宋体" w:hAnsi="宋体"/>
          <w:sz w:val="24"/>
        </w:rPr>
        <w:t>4)相位角：全身及节段相位角。</w:t>
      </w:r>
    </w:p>
    <w:p w14:paraId="091CCDFA">
      <w:pPr>
        <w:keepNext w:val="0"/>
        <w:keepLines w:val="0"/>
        <w:widowControl/>
        <w:suppressLineNumbers w:val="0"/>
        <w:jc w:val="left"/>
        <w:rPr>
          <w:rFonts w:hint="eastAsia" w:ascii="宋体" w:hAnsi="宋体"/>
          <w:b/>
          <w:sz w:val="24"/>
        </w:rPr>
      </w:pPr>
      <w:r>
        <w:rPr>
          <w:rFonts w:hint="eastAsia" w:ascii="宋体" w:hAnsi="宋体"/>
          <w:b/>
          <w:sz w:val="24"/>
          <w:lang w:val="en-US" w:eastAsia="zh-CN"/>
        </w:rPr>
        <w:t>4</w:t>
      </w:r>
      <w:r>
        <w:rPr>
          <w:rFonts w:hint="eastAsia" w:ascii="宋体" w:hAnsi="宋体"/>
          <w:b/>
          <w:sz w:val="24"/>
        </w:rPr>
        <w:t>、</w:t>
      </w:r>
      <w:r>
        <w:rPr>
          <w:rFonts w:hint="eastAsia" w:ascii="宋体" w:hAnsi="宋体"/>
          <w:b/>
          <w:bCs/>
          <w:sz w:val="24"/>
        </w:rPr>
        <w:t>输出指标</w:t>
      </w:r>
      <w:r>
        <w:rPr>
          <w:rFonts w:hint="eastAsia" w:ascii="宋体" w:hAnsi="宋体"/>
          <w:b/>
          <w:sz w:val="24"/>
        </w:rPr>
        <w:t>营养与运动处方报告</w:t>
      </w:r>
      <w:r>
        <w:rPr>
          <w:rFonts w:hint="eastAsia" w:ascii="宋体" w:hAnsi="宋体" w:eastAsia="宋体" w:cs="宋体"/>
          <w:b/>
          <w:color w:val="000000"/>
          <w:kern w:val="0"/>
          <w:sz w:val="24"/>
          <w:szCs w:val="24"/>
          <w:lang w:val="en-US" w:eastAsia="zh-CN" w:bidi="ar"/>
        </w:rPr>
        <w:t>（</w:t>
      </w:r>
      <w:r>
        <w:rPr>
          <w:rFonts w:hint="eastAsia" w:ascii="宋体" w:hAnsi="宋体" w:eastAsia="宋体" w:cs="宋体"/>
          <w:b/>
          <w:bCs w:val="0"/>
          <w:color w:val="000000"/>
          <w:kern w:val="0"/>
          <w:sz w:val="24"/>
          <w:szCs w:val="24"/>
          <w:lang w:val="en-US" w:eastAsia="zh-CN" w:bidi="ar"/>
        </w:rPr>
        <w:t>提供与设备同一品牌营养处方系统软件著作权证和检测报告单证明</w:t>
      </w:r>
      <w:r>
        <w:rPr>
          <w:rFonts w:hint="eastAsia" w:ascii="宋体" w:hAnsi="宋体" w:eastAsia="宋体" w:cs="宋体"/>
          <w:b/>
          <w:color w:val="000000"/>
          <w:kern w:val="0"/>
          <w:sz w:val="24"/>
          <w:szCs w:val="24"/>
          <w:lang w:val="en-US" w:eastAsia="zh-CN" w:bidi="ar"/>
        </w:rPr>
        <w:t>）</w:t>
      </w:r>
      <w:r>
        <w:rPr>
          <w:rFonts w:hint="eastAsia" w:ascii="宋体" w:hAnsi="宋体"/>
          <w:b/>
          <w:sz w:val="24"/>
        </w:rPr>
        <w:t>：</w:t>
      </w:r>
    </w:p>
    <w:p w14:paraId="7675DBB2">
      <w:pPr>
        <w:tabs>
          <w:tab w:val="left" w:pos="2205"/>
        </w:tabs>
        <w:spacing w:line="360" w:lineRule="auto"/>
        <w:ind w:firstLine="424" w:firstLineChars="177"/>
        <w:rPr>
          <w:rFonts w:hint="eastAsia" w:ascii="宋体" w:hAnsi="宋体"/>
          <w:bCs/>
          <w:sz w:val="24"/>
        </w:rPr>
      </w:pPr>
      <w:r>
        <w:rPr>
          <w:rFonts w:hint="eastAsia" w:ascii="宋体" w:hAnsi="宋体"/>
          <w:bCs/>
          <w:sz w:val="24"/>
        </w:rPr>
        <w:t>营养膳食指导，一周三餐推荐菜谱、每日总能量推荐摄入量，主要营养素蛋白质、脂肪和碳水化合物推荐摄入量；运动处方分日常、低运动量、中运动量、高运动量区分，并提供具体运动项目与时长建议等。</w:t>
      </w:r>
    </w:p>
    <w:p w14:paraId="4BE468AB">
      <w:pPr>
        <w:spacing w:line="360" w:lineRule="auto"/>
        <w:rPr>
          <w:rFonts w:hint="eastAsia" w:ascii="宋体" w:hAnsi="宋体"/>
          <w:b/>
          <w:sz w:val="24"/>
        </w:rPr>
      </w:pPr>
      <w:r>
        <w:rPr>
          <w:rFonts w:hint="eastAsia" w:ascii="宋体" w:hAnsi="宋体"/>
          <w:b/>
          <w:sz w:val="24"/>
          <w:lang w:val="en-US" w:eastAsia="zh-CN"/>
        </w:rPr>
        <w:t>5</w:t>
      </w:r>
      <w:r>
        <w:rPr>
          <w:rFonts w:hint="eastAsia" w:ascii="宋体" w:hAnsi="宋体"/>
          <w:b/>
          <w:sz w:val="24"/>
        </w:rPr>
        <w:t>、</w:t>
      </w:r>
      <w:r>
        <w:rPr>
          <w:rFonts w:hint="eastAsia" w:ascii="宋体" w:hAnsi="宋体"/>
          <w:b/>
          <w:bCs/>
          <w:sz w:val="24"/>
        </w:rPr>
        <w:t>输出指标（</w:t>
      </w:r>
      <w:r>
        <w:rPr>
          <w:rFonts w:hint="eastAsia" w:ascii="宋体" w:hAnsi="宋体"/>
          <w:b/>
          <w:sz w:val="24"/>
        </w:rPr>
        <w:t>围度分析报告）：</w:t>
      </w:r>
    </w:p>
    <w:p w14:paraId="0C374925">
      <w:pPr>
        <w:tabs>
          <w:tab w:val="left" w:pos="2205"/>
        </w:tabs>
        <w:spacing w:line="360" w:lineRule="auto"/>
        <w:ind w:firstLine="424" w:firstLineChars="177"/>
        <w:rPr>
          <w:rFonts w:hint="eastAsia" w:ascii="宋体" w:hAnsi="宋体"/>
          <w:bCs/>
          <w:sz w:val="24"/>
        </w:rPr>
      </w:pPr>
      <w:r>
        <w:rPr>
          <w:rFonts w:hint="eastAsia" w:ascii="宋体" w:hAnsi="宋体"/>
          <w:bCs/>
          <w:sz w:val="24"/>
        </w:rPr>
        <w:t>包括左臂、右臂、左大腿、右大腿、胸部、腹部外围围度、肌肉围度、脂肪厚度的指标；以及颈部、臀部外围围度指标。并提供标准正常参考值。</w:t>
      </w:r>
    </w:p>
    <w:p w14:paraId="4DD4C663">
      <w:pPr>
        <w:spacing w:line="360" w:lineRule="auto"/>
        <w:rPr>
          <w:rFonts w:hint="eastAsia" w:ascii="宋体" w:hAnsi="宋体"/>
          <w:b/>
          <w:sz w:val="24"/>
        </w:rPr>
      </w:pPr>
      <w:r>
        <w:rPr>
          <w:rFonts w:hint="eastAsia" w:ascii="宋体" w:hAnsi="宋体"/>
          <w:b/>
          <w:sz w:val="24"/>
          <w:lang w:val="en-US" w:eastAsia="zh-CN"/>
        </w:rPr>
        <w:t>6</w:t>
      </w:r>
      <w:r>
        <w:rPr>
          <w:rFonts w:hint="eastAsia" w:ascii="宋体" w:hAnsi="宋体"/>
          <w:b/>
          <w:sz w:val="24"/>
        </w:rPr>
        <w:t>、</w:t>
      </w:r>
      <w:r>
        <w:rPr>
          <w:rFonts w:hint="eastAsia" w:ascii="宋体" w:hAnsi="宋体"/>
          <w:b/>
          <w:bCs/>
          <w:sz w:val="24"/>
        </w:rPr>
        <w:t>输出指标（</w:t>
      </w:r>
      <w:r>
        <w:rPr>
          <w:rFonts w:hint="eastAsia" w:ascii="宋体" w:hAnsi="宋体"/>
          <w:b/>
          <w:sz w:val="24"/>
        </w:rPr>
        <w:t>体水分专用报告）：</w:t>
      </w:r>
    </w:p>
    <w:p w14:paraId="0574A77D">
      <w:pPr>
        <w:tabs>
          <w:tab w:val="left" w:pos="2205"/>
        </w:tabs>
        <w:spacing w:line="360" w:lineRule="auto"/>
        <w:ind w:firstLine="424" w:firstLineChars="177"/>
        <w:rPr>
          <w:rFonts w:ascii="宋体" w:hAnsi="宋体"/>
          <w:bCs/>
          <w:sz w:val="24"/>
        </w:rPr>
      </w:pPr>
      <w:r>
        <w:rPr>
          <w:rFonts w:hint="eastAsia" w:ascii="宋体" w:hAnsi="宋体"/>
          <w:bCs/>
          <w:sz w:val="24"/>
        </w:rPr>
        <w:t>包括身体总水分、细胞内液、细胞外液分析；各节段左臂、右臂、左腿、右腿、躯干水分分析；身体浮肿指数以及各节段左臂、右臂、左腿、右腿、躯干浮肿指数；身体水分历史记录。多余水模式中输出多余水、标准水合体重指标。</w:t>
      </w:r>
    </w:p>
    <w:p w14:paraId="31719AD8">
      <w:pPr>
        <w:spacing w:line="360" w:lineRule="auto"/>
        <w:rPr>
          <w:rFonts w:ascii="宋体" w:hAnsi="宋体"/>
          <w:b/>
          <w:sz w:val="24"/>
        </w:rPr>
      </w:pPr>
      <w:r>
        <w:rPr>
          <w:rFonts w:hint="eastAsia" w:ascii="宋体" w:hAnsi="宋体"/>
          <w:b/>
          <w:sz w:val="24"/>
          <w:lang w:val="en-US" w:eastAsia="zh-CN"/>
        </w:rPr>
        <w:t>7</w:t>
      </w:r>
      <w:r>
        <w:rPr>
          <w:rFonts w:hint="eastAsia" w:ascii="宋体" w:hAnsi="宋体"/>
          <w:b/>
          <w:sz w:val="24"/>
        </w:rPr>
        <w:t>、</w:t>
      </w:r>
      <w:r>
        <w:rPr>
          <w:rFonts w:hint="eastAsia" w:ascii="宋体" w:hAnsi="宋体"/>
          <w:b/>
          <w:bCs/>
          <w:sz w:val="24"/>
        </w:rPr>
        <w:t>输出指标（</w:t>
      </w:r>
      <w:r>
        <w:rPr>
          <w:rFonts w:hint="eastAsia" w:ascii="宋体" w:hAnsi="宋体"/>
          <w:b/>
          <w:sz w:val="24"/>
        </w:rPr>
        <w:t>综合专用报告）：</w:t>
      </w:r>
    </w:p>
    <w:p w14:paraId="47BD39F9">
      <w:pPr>
        <w:spacing w:line="360" w:lineRule="auto"/>
        <w:rPr>
          <w:rFonts w:ascii="宋体" w:hAnsi="宋体"/>
          <w:sz w:val="24"/>
        </w:rPr>
      </w:pPr>
      <w:r>
        <w:rPr>
          <w:rFonts w:hint="eastAsia" w:ascii="宋体" w:hAnsi="宋体"/>
          <w:sz w:val="24"/>
        </w:rPr>
        <w:t>1）支持在设备设置界面选择是否采用综合</w:t>
      </w:r>
      <w:r>
        <w:rPr>
          <w:rFonts w:ascii="宋体" w:hAnsi="宋体"/>
          <w:sz w:val="24"/>
        </w:rPr>
        <w:t>打印</w:t>
      </w:r>
      <w:r>
        <w:rPr>
          <w:rFonts w:hint="eastAsia" w:ascii="宋体" w:hAnsi="宋体"/>
          <w:sz w:val="24"/>
        </w:rPr>
        <w:t>报告模式，可以实现单独打印。</w:t>
      </w:r>
    </w:p>
    <w:p w14:paraId="0CD2B66B">
      <w:pPr>
        <w:spacing w:line="360" w:lineRule="auto"/>
        <w:rPr>
          <w:rFonts w:ascii="宋体" w:hAnsi="宋体"/>
          <w:sz w:val="24"/>
        </w:rPr>
      </w:pPr>
      <w:r>
        <w:rPr>
          <w:rFonts w:ascii="宋体" w:hAnsi="宋体"/>
          <w:sz w:val="24"/>
        </w:rPr>
        <w:t>2</w:t>
      </w:r>
      <w:r>
        <w:rPr>
          <w:rFonts w:hint="eastAsia" w:ascii="宋体" w:hAnsi="宋体"/>
          <w:sz w:val="24"/>
        </w:rPr>
        <w:t>）采用身体质量指数、脂肪百分比、腰臀比、腰高比和内脏脂肪面积综合评估肥胖状况。</w:t>
      </w:r>
    </w:p>
    <w:p w14:paraId="1F671F6E">
      <w:pPr>
        <w:spacing w:line="360" w:lineRule="auto"/>
        <w:rPr>
          <w:rFonts w:ascii="宋体" w:hAnsi="宋体"/>
          <w:sz w:val="24"/>
        </w:rPr>
      </w:pPr>
      <w:r>
        <w:rPr>
          <w:rFonts w:ascii="宋体" w:hAnsi="宋体"/>
          <w:sz w:val="24"/>
        </w:rPr>
        <w:t>3</w:t>
      </w:r>
      <w:r>
        <w:rPr>
          <w:rFonts w:hint="eastAsia" w:ascii="宋体" w:hAnsi="宋体"/>
          <w:sz w:val="24"/>
        </w:rPr>
        <w:t>）采用肌肉量、骨骼肌肉量、四肢骨骼肌指数、肌肉指数综合评估肌肉状况。</w:t>
      </w:r>
    </w:p>
    <w:p w14:paraId="046CC04C">
      <w:pPr>
        <w:spacing w:line="360" w:lineRule="auto"/>
        <w:rPr>
          <w:rFonts w:ascii="宋体" w:hAnsi="宋体"/>
          <w:sz w:val="24"/>
        </w:rPr>
      </w:pPr>
      <w:r>
        <w:rPr>
          <w:rFonts w:ascii="宋体" w:hAnsi="宋体"/>
          <w:sz w:val="24"/>
        </w:rPr>
        <w:t>4</w:t>
      </w:r>
      <w:r>
        <w:rPr>
          <w:rFonts w:hint="eastAsia" w:ascii="宋体" w:hAnsi="宋体"/>
          <w:sz w:val="24"/>
        </w:rPr>
        <w:t>）标注出节段肌肉、节段脂肪测量值和正常范围以及是否超标。</w:t>
      </w:r>
    </w:p>
    <w:p w14:paraId="7DA114A3">
      <w:pPr>
        <w:spacing w:line="360" w:lineRule="auto"/>
        <w:rPr>
          <w:rFonts w:ascii="宋体" w:hAnsi="宋体"/>
          <w:sz w:val="24"/>
        </w:rPr>
      </w:pPr>
      <w:r>
        <w:rPr>
          <w:rFonts w:ascii="宋体" w:hAnsi="宋体"/>
          <w:sz w:val="24"/>
        </w:rPr>
        <w:t>5</w:t>
      </w:r>
      <w:r>
        <w:rPr>
          <w:rFonts w:hint="eastAsia" w:ascii="宋体" w:hAnsi="宋体"/>
          <w:sz w:val="24"/>
        </w:rPr>
        <w:t>）体重、身体质量指数、骨骼肌肉量、骨骼肌肉量、体脂率、细胞外水分比率五项指标的近五次历史记录及曲线图</w:t>
      </w:r>
    </w:p>
    <w:p w14:paraId="5F7419B6">
      <w:pPr>
        <w:spacing w:line="360" w:lineRule="auto"/>
        <w:rPr>
          <w:rFonts w:ascii="宋体" w:hAnsi="宋体"/>
          <w:b/>
          <w:bCs/>
          <w:sz w:val="24"/>
          <w:szCs w:val="32"/>
        </w:rPr>
      </w:pPr>
      <w:r>
        <w:rPr>
          <w:rFonts w:hint="eastAsia" w:ascii="宋体" w:hAnsi="宋体"/>
          <w:b/>
          <w:bCs/>
          <w:sz w:val="24"/>
          <w:lang w:val="en-US" w:eastAsia="zh-CN"/>
        </w:rPr>
        <w:t>8</w:t>
      </w:r>
      <w:r>
        <w:rPr>
          <w:rFonts w:hint="eastAsia" w:ascii="宋体" w:hAnsi="宋体"/>
          <w:b/>
          <w:bCs/>
          <w:sz w:val="24"/>
        </w:rPr>
        <w:t>、营养管理：</w:t>
      </w:r>
    </w:p>
    <w:p w14:paraId="23A3BF01">
      <w:pPr>
        <w:spacing w:line="360" w:lineRule="auto"/>
        <w:rPr>
          <w:rFonts w:hint="eastAsia" w:ascii="宋体" w:hAnsi="宋体"/>
          <w:sz w:val="24"/>
        </w:rPr>
      </w:pPr>
      <w:r>
        <w:rPr>
          <w:rFonts w:hint="eastAsia" w:ascii="宋体" w:hAnsi="宋体"/>
          <w:sz w:val="24"/>
        </w:rPr>
        <w:t>支持采用管理端连接营养分析系统，通过设备检测及数据分析输出专用人群的营养报告</w:t>
      </w:r>
      <w:r>
        <w:rPr>
          <w:rFonts w:hint="eastAsia" w:ascii="宋体" w:hAnsi="宋体"/>
          <w:sz w:val="24"/>
          <w:lang w:eastAsia="zh-CN"/>
        </w:rPr>
        <w:t>，</w:t>
      </w:r>
      <w:r>
        <w:rPr>
          <w:rFonts w:hint="eastAsia" w:ascii="宋体" w:hAnsi="宋体"/>
          <w:sz w:val="24"/>
        </w:rPr>
        <w:t>提供营养处方系统专用著作权证。</w:t>
      </w:r>
    </w:p>
    <w:p w14:paraId="6BAE30CF">
      <w:pPr>
        <w:spacing w:line="360" w:lineRule="auto"/>
        <w:rPr>
          <w:rFonts w:ascii="宋体" w:hAnsi="宋体"/>
          <w:b/>
          <w:sz w:val="24"/>
        </w:rPr>
      </w:pPr>
      <w:r>
        <w:rPr>
          <w:rFonts w:hint="eastAsia" w:ascii="宋体" w:hAnsi="宋体"/>
          <w:b/>
          <w:sz w:val="24"/>
        </w:rPr>
        <w:t>三、其他参数要求：</w:t>
      </w:r>
    </w:p>
    <w:p w14:paraId="10B39B48">
      <w:pPr>
        <w:spacing w:line="360" w:lineRule="auto"/>
        <w:rPr>
          <w:rFonts w:ascii="宋体" w:hAnsi="宋体"/>
          <w:sz w:val="24"/>
        </w:rPr>
      </w:pPr>
      <w:r>
        <w:rPr>
          <w:rFonts w:hint="eastAsia" w:ascii="宋体" w:hAnsi="宋体"/>
          <w:sz w:val="24"/>
        </w:rPr>
        <w:t>1、有云平台接口和云端服务支持，主机具备无线和蓝牙连接模式。</w:t>
      </w:r>
    </w:p>
    <w:p w14:paraId="21BD65B4">
      <w:pPr>
        <w:spacing w:line="360" w:lineRule="auto"/>
        <w:rPr>
          <w:rFonts w:ascii="宋体" w:hAnsi="宋体"/>
          <w:sz w:val="24"/>
        </w:rPr>
      </w:pPr>
      <w:r>
        <w:rPr>
          <w:rFonts w:hint="eastAsia" w:ascii="宋体" w:hAnsi="宋体"/>
          <w:sz w:val="24"/>
        </w:rPr>
        <w:t>2、数据存储：自动存储，大容量存储，可存储≥50万组测量数据</w:t>
      </w:r>
    </w:p>
    <w:p w14:paraId="24279647">
      <w:pPr>
        <w:spacing w:line="360" w:lineRule="auto"/>
        <w:rPr>
          <w:rFonts w:ascii="宋体" w:hAnsi="宋体"/>
          <w:sz w:val="24"/>
        </w:rPr>
      </w:pPr>
      <w:r>
        <w:rPr>
          <w:rFonts w:hint="eastAsia" w:ascii="宋体" w:hAnsi="宋体"/>
          <w:sz w:val="24"/>
        </w:rPr>
        <w:t>3、查询功能：在设备上直接进行多种数据查询（ID号、身高、体重、年龄、性别查询）</w:t>
      </w:r>
    </w:p>
    <w:p w14:paraId="66802DA3">
      <w:pPr>
        <w:spacing w:line="360" w:lineRule="auto"/>
        <w:rPr>
          <w:rFonts w:ascii="宋体" w:hAnsi="宋体"/>
          <w:sz w:val="24"/>
        </w:rPr>
      </w:pPr>
      <w:r>
        <w:rPr>
          <w:rFonts w:hint="eastAsia" w:ascii="宋体" w:hAnsi="宋体"/>
          <w:sz w:val="24"/>
        </w:rPr>
        <w:t>4、设备安全管理：具有密码设置功能</w:t>
      </w:r>
    </w:p>
    <w:p w14:paraId="61CFBB2C">
      <w:pPr>
        <w:spacing w:line="360" w:lineRule="auto"/>
        <w:rPr>
          <w:rFonts w:ascii="宋体" w:hAnsi="宋体"/>
          <w:sz w:val="24"/>
        </w:rPr>
      </w:pPr>
      <w:r>
        <w:rPr>
          <w:rFonts w:hint="eastAsia" w:ascii="宋体" w:hAnsi="宋体"/>
          <w:sz w:val="24"/>
        </w:rPr>
        <w:t>5、具备医疗器械注册证。</w:t>
      </w:r>
    </w:p>
    <w:p w14:paraId="3C8B9FD8">
      <w:pPr>
        <w:spacing w:line="360" w:lineRule="auto"/>
        <w:rPr>
          <w:rFonts w:ascii="宋体" w:hAnsi="宋体"/>
          <w:sz w:val="24"/>
        </w:rPr>
      </w:pPr>
      <w:r>
        <w:rPr>
          <w:rFonts w:hint="eastAsia" w:ascii="宋体" w:hAnsi="宋体"/>
          <w:sz w:val="24"/>
        </w:rPr>
        <w:t>6、具备专用管理软件著作权证。</w:t>
      </w:r>
    </w:p>
    <w:p w14:paraId="538A8B27">
      <w:pPr>
        <w:spacing w:line="360" w:lineRule="auto"/>
        <w:rPr>
          <w:rFonts w:hint="eastAsia" w:ascii="宋体" w:hAnsi="宋体"/>
          <w:sz w:val="24"/>
        </w:rPr>
      </w:pPr>
      <w:r>
        <w:rPr>
          <w:rFonts w:hint="eastAsia" w:ascii="宋体" w:hAnsi="宋体"/>
          <w:sz w:val="24"/>
        </w:rPr>
        <w:t>7、提供第三方机构出具的软件产品质量检测检验软件产品登记测试报告。</w:t>
      </w:r>
    </w:p>
    <w:p w14:paraId="74F99C0D">
      <w:p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8、为提升产品质量和市场用户装机量，人体成分分析仪应具备医疗器械注册证，满足获批注册证取证时间≥5年（提供注册证证明）。</w:t>
      </w:r>
    </w:p>
    <w:p w14:paraId="633163CA">
      <w:pPr>
        <w:tabs>
          <w:tab w:val="left" w:pos="4950"/>
        </w:tabs>
        <w:spacing w:line="276" w:lineRule="auto"/>
        <w:rPr>
          <w:rFonts w:hint="eastAsia" w:ascii="宋体" w:hAnsi="宋体" w:eastAsia="宋体" w:cs="宋体"/>
          <w:b/>
          <w:bCs/>
          <w:sz w:val="24"/>
          <w:szCs w:val="24"/>
          <w:lang w:val="en-US" w:eastAsia="zh-CN"/>
        </w:rPr>
      </w:pPr>
      <w:r>
        <w:rPr>
          <w:rFonts w:hint="eastAsia" w:ascii="宋体" w:hAnsi="宋体" w:cs="宋体"/>
          <w:sz w:val="24"/>
          <w:szCs w:val="24"/>
          <w:lang w:val="en-US" w:eastAsia="zh-CN"/>
        </w:rPr>
        <w:t>四、</w:t>
      </w:r>
      <w:r>
        <w:rPr>
          <w:rFonts w:hint="eastAsia" w:ascii="宋体" w:hAnsi="宋体" w:eastAsia="宋体"/>
          <w:b/>
          <w:bCs/>
          <w:color w:val="000000"/>
          <w:sz w:val="24"/>
          <w:szCs w:val="24"/>
          <w:lang w:val="en-US" w:eastAsia="zh-CN"/>
        </w:rPr>
        <w:t>售后保障：</w:t>
      </w:r>
      <w:r>
        <w:rPr>
          <w:rFonts w:hint="eastAsia" w:ascii="宋体" w:hAnsi="宋体" w:eastAsia="宋体" w:cs="宋体"/>
          <w:b/>
          <w:bCs/>
          <w:sz w:val="24"/>
          <w:szCs w:val="24"/>
          <w:lang w:val="en-US" w:eastAsia="zh-CN"/>
        </w:rPr>
        <w:t>为提升产品售后服务质量和保障体系，人体成分分析仪生产厂家应在属地省会城市注册公司或经营分部，提供属地城市注册营业执照和缴纳单位≥5人社保证明。</w:t>
      </w:r>
    </w:p>
    <w:p w14:paraId="2286FEBD">
      <w:pPr>
        <w:spacing w:line="360" w:lineRule="auto"/>
        <w:ind w:firstLine="240" w:firstLineChars="100"/>
        <w:rPr>
          <w:rFonts w:hint="eastAsia" w:cs="宋体" w:asciiTheme="minorEastAsia" w:hAnsiTheme="minorEastAsia" w:eastAsiaTheme="minorEastAsia"/>
          <w:bCs/>
          <w:color w:val="000000"/>
          <w:sz w:val="24"/>
          <w:lang w:val="en-US" w:eastAsia="zh-CN"/>
        </w:rPr>
      </w:pPr>
      <w:r>
        <w:rPr>
          <w:rFonts w:hint="eastAsia" w:cs="宋体" w:asciiTheme="minorEastAsia" w:hAnsiTheme="minorEastAsia"/>
          <w:bCs/>
          <w:color w:val="000000"/>
          <w:sz w:val="24"/>
          <w:lang w:val="en-US" w:eastAsia="zh-CN"/>
        </w:rPr>
        <w:t>9、</w:t>
      </w:r>
      <w:r>
        <w:rPr>
          <w:rFonts w:hint="eastAsia" w:cs="宋体" w:asciiTheme="minorEastAsia" w:hAnsiTheme="minorEastAsia" w:eastAsiaTheme="minorEastAsia"/>
          <w:bCs/>
          <w:color w:val="000000"/>
          <w:sz w:val="24"/>
          <w:lang w:val="en-US" w:eastAsia="zh-CN"/>
        </w:rPr>
        <w:t xml:space="preserve"> 住院部营养管理</w:t>
      </w:r>
    </w:p>
    <w:p w14:paraId="3851257F">
      <w:pPr>
        <w:spacing w:line="360" w:lineRule="auto"/>
        <w:ind w:firstLine="480" w:firstLineChars="200"/>
        <w:rPr>
          <w:rFonts w:hint="default"/>
          <w:lang w:val="en-US" w:eastAsia="zh-CN"/>
        </w:rPr>
      </w:pPr>
      <w:r>
        <w:rPr>
          <w:rFonts w:hint="eastAsia" w:cs="宋体" w:asciiTheme="minorEastAsia" w:hAnsiTheme="minorEastAsia"/>
          <w:bCs/>
          <w:color w:val="000000"/>
          <w:sz w:val="24"/>
          <w:lang w:val="en-US" w:eastAsia="zh-CN"/>
        </w:rPr>
        <w:t>系统软件除了可以</w:t>
      </w:r>
      <w:r>
        <w:rPr>
          <w:rFonts w:hint="eastAsia" w:cs="宋体" w:asciiTheme="minorEastAsia" w:hAnsiTheme="minorEastAsia" w:eastAsiaTheme="minorEastAsia"/>
          <w:bCs/>
          <w:color w:val="000000"/>
          <w:sz w:val="24"/>
          <w:lang w:val="en-US" w:eastAsia="zh-CN"/>
        </w:rPr>
        <w:t>在门诊使用之外，在住院部病房，可进行住院部床旁营养评估分析</w:t>
      </w:r>
      <w:r>
        <w:rPr>
          <w:rFonts w:hint="eastAsia" w:cs="宋体" w:asciiTheme="minorEastAsia" w:hAnsiTheme="minorEastAsia"/>
          <w:bCs/>
          <w:color w:val="000000"/>
          <w:sz w:val="24"/>
          <w:lang w:val="en-US" w:eastAsia="zh-CN"/>
        </w:rPr>
        <w:t>，</w:t>
      </w:r>
      <w:r>
        <w:rPr>
          <w:rFonts w:hint="eastAsia" w:cs="宋体" w:asciiTheme="minorEastAsia" w:hAnsiTheme="minorEastAsia" w:eastAsiaTheme="minorEastAsia"/>
          <w:bCs/>
          <w:color w:val="000000"/>
          <w:sz w:val="24"/>
          <w:lang w:val="en-US" w:eastAsia="zh-CN"/>
        </w:rPr>
        <w:t>包含</w:t>
      </w:r>
      <w:r>
        <w:rPr>
          <w:rFonts w:hint="eastAsia" w:cs="宋体" w:asciiTheme="minorEastAsia" w:hAnsiTheme="minorEastAsia"/>
          <w:bCs/>
          <w:color w:val="000000"/>
          <w:sz w:val="24"/>
          <w:lang w:val="en-US" w:eastAsia="zh-CN"/>
        </w:rPr>
        <w:t>可进行</w:t>
      </w:r>
      <w:r>
        <w:rPr>
          <w:rFonts w:hint="eastAsia" w:cs="宋体" w:asciiTheme="minorEastAsia" w:hAnsiTheme="minorEastAsia" w:eastAsiaTheme="minorEastAsia"/>
          <w:bCs/>
          <w:color w:val="000000"/>
          <w:sz w:val="24"/>
          <w:lang w:val="en-US" w:eastAsia="zh-CN"/>
        </w:rPr>
        <w:t>：24小时膳食回顾调查、营养素安全剂量评估、NRS2002、SGA、MNA、PG—SGA、MST、MUST</w:t>
      </w:r>
      <w:r>
        <w:rPr>
          <w:rFonts w:hint="eastAsia" w:cs="宋体" w:asciiTheme="minorEastAsia" w:hAnsiTheme="minorEastAsia"/>
          <w:bCs/>
          <w:color w:val="000000"/>
          <w:sz w:val="24"/>
          <w:lang w:val="en-US" w:eastAsia="zh-CN"/>
        </w:rPr>
        <w:t>营养评估；</w:t>
      </w:r>
      <w:r>
        <w:rPr>
          <w:rFonts w:hint="eastAsia" w:cs="宋体" w:asciiTheme="minorEastAsia" w:hAnsiTheme="minorEastAsia" w:eastAsiaTheme="minorEastAsia"/>
          <w:bCs/>
          <w:color w:val="000000"/>
          <w:sz w:val="24"/>
          <w:lang w:val="en-US" w:eastAsia="zh-CN"/>
        </w:rPr>
        <w:t>可完成相关营养会诊信息记录</w:t>
      </w:r>
      <w:r>
        <w:rPr>
          <w:rFonts w:hint="eastAsia" w:cs="宋体" w:asciiTheme="minorEastAsia" w:hAnsiTheme="minorEastAsia"/>
          <w:bCs/>
          <w:color w:val="000000"/>
          <w:sz w:val="24"/>
          <w:lang w:val="en-US" w:eastAsia="zh-CN"/>
        </w:rPr>
        <w:t>，包含可录入：基础</w:t>
      </w:r>
      <w:r>
        <w:rPr>
          <w:rFonts w:hint="eastAsia" w:cs="宋体" w:asciiTheme="minorEastAsia" w:hAnsiTheme="minorEastAsia" w:eastAsiaTheme="minorEastAsia"/>
          <w:bCs/>
          <w:color w:val="000000"/>
          <w:sz w:val="24"/>
          <w:lang w:val="en-US" w:eastAsia="zh-CN"/>
        </w:rPr>
        <w:t>信息、主诉、症状、禁忌、生化指标</w:t>
      </w:r>
      <w:r>
        <w:rPr>
          <w:rFonts w:hint="eastAsia" w:cs="宋体" w:asciiTheme="minorEastAsia" w:hAnsiTheme="minorEastAsia"/>
          <w:bCs/>
          <w:color w:val="000000"/>
          <w:sz w:val="24"/>
          <w:lang w:val="en-US" w:eastAsia="zh-CN"/>
        </w:rPr>
        <w:t>。根据相关数据采集，</w:t>
      </w:r>
      <w:r>
        <w:rPr>
          <w:rFonts w:hint="eastAsia" w:cs="宋体" w:asciiTheme="minorEastAsia" w:hAnsiTheme="minorEastAsia" w:eastAsiaTheme="minorEastAsia"/>
          <w:bCs/>
          <w:color w:val="000000"/>
          <w:sz w:val="24"/>
          <w:lang w:val="en-US" w:eastAsia="zh-CN"/>
        </w:rPr>
        <w:t>可</w:t>
      </w:r>
      <w:r>
        <w:rPr>
          <w:rFonts w:hint="eastAsia" w:cs="宋体" w:asciiTheme="minorEastAsia" w:hAnsiTheme="minorEastAsia"/>
          <w:bCs/>
          <w:color w:val="000000"/>
          <w:sz w:val="24"/>
          <w:lang w:val="en-US" w:eastAsia="zh-CN"/>
        </w:rPr>
        <w:t>完成个体化</w:t>
      </w:r>
      <w:r>
        <w:rPr>
          <w:rFonts w:hint="eastAsia" w:cs="宋体" w:asciiTheme="minorEastAsia" w:hAnsiTheme="minorEastAsia" w:eastAsiaTheme="minorEastAsia"/>
          <w:bCs/>
          <w:color w:val="000000"/>
          <w:sz w:val="24"/>
          <w:lang w:val="en-US" w:eastAsia="zh-CN"/>
        </w:rPr>
        <w:t>营养管理方案</w:t>
      </w:r>
      <w:r>
        <w:rPr>
          <w:rFonts w:hint="eastAsia" w:cs="宋体" w:asciiTheme="minorEastAsia" w:hAnsiTheme="minorEastAsia"/>
          <w:bCs/>
          <w:color w:val="000000"/>
          <w:sz w:val="24"/>
          <w:lang w:val="en-US" w:eastAsia="zh-CN"/>
        </w:rPr>
        <w:t>的开具。</w:t>
      </w:r>
    </w:p>
    <w:p w14:paraId="7944A862">
      <w:pPr>
        <w:numPr>
          <w:ilvl w:val="0"/>
          <w:numId w:val="0"/>
        </w:numPr>
        <w:spacing w:line="360" w:lineRule="auto"/>
        <w:ind w:firstLine="240" w:firstLineChars="100"/>
        <w:rPr>
          <w:rFonts w:cs="宋体" w:asciiTheme="minorEastAsia" w:hAnsiTheme="minorEastAsia" w:eastAsiaTheme="minorEastAsia"/>
          <w:bCs/>
          <w:color w:val="000000"/>
          <w:sz w:val="24"/>
        </w:rPr>
      </w:pPr>
      <w:r>
        <w:rPr>
          <w:rFonts w:hint="eastAsia" w:cs="宋体" w:asciiTheme="minorEastAsia" w:hAnsiTheme="minorEastAsia"/>
          <w:bCs/>
          <w:color w:val="000000"/>
          <w:sz w:val="24"/>
          <w:lang w:val="en-US" w:eastAsia="zh-CN"/>
        </w:rPr>
        <w:t>10、</w:t>
      </w:r>
      <w:r>
        <w:rPr>
          <w:rFonts w:hint="eastAsia" w:cs="宋体" w:asciiTheme="minorEastAsia" w:hAnsiTheme="minorEastAsia" w:eastAsiaTheme="minorEastAsia"/>
          <w:bCs/>
          <w:color w:val="000000"/>
          <w:sz w:val="24"/>
        </w:rPr>
        <w:t>院外</w:t>
      </w:r>
      <w:r>
        <w:rPr>
          <w:rFonts w:hint="eastAsia" w:cs="宋体" w:asciiTheme="minorEastAsia" w:hAnsiTheme="minorEastAsia" w:eastAsiaTheme="minorEastAsia"/>
          <w:bCs/>
          <w:color w:val="000000"/>
          <w:sz w:val="24"/>
          <w:lang w:val="en-US" w:eastAsia="zh-CN"/>
        </w:rPr>
        <w:t>营养</w:t>
      </w:r>
      <w:r>
        <w:rPr>
          <w:rFonts w:hint="eastAsia" w:cs="宋体" w:asciiTheme="minorEastAsia" w:hAnsiTheme="minorEastAsia" w:eastAsiaTheme="minorEastAsia"/>
          <w:bCs/>
          <w:color w:val="000000"/>
          <w:sz w:val="24"/>
        </w:rPr>
        <w:t>评价及营养管理</w:t>
      </w:r>
    </w:p>
    <w:p w14:paraId="56D88A7A">
      <w:pPr>
        <w:spacing w:line="360" w:lineRule="auto"/>
        <w:ind w:firstLine="480" w:firstLineChars="200"/>
        <w:rPr>
          <w:rFonts w:cs="宋体" w:asciiTheme="minorEastAsia" w:hAnsiTheme="minorEastAsia" w:eastAsiaTheme="minorEastAsia"/>
          <w:bCs/>
          <w:color w:val="000000"/>
          <w:sz w:val="24"/>
        </w:rPr>
      </w:pPr>
      <w:r>
        <w:rPr>
          <w:rFonts w:hint="eastAsia" w:cs="宋体" w:asciiTheme="minorEastAsia" w:hAnsiTheme="minorEastAsia"/>
          <w:bCs/>
          <w:sz w:val="24"/>
          <w:lang w:val="en-US" w:eastAsia="zh-CN"/>
        </w:rPr>
        <w:t>10</w:t>
      </w:r>
      <w:r>
        <w:rPr>
          <w:rFonts w:hint="eastAsia" w:cs="宋体" w:asciiTheme="minorEastAsia" w:hAnsiTheme="minorEastAsia" w:eastAsiaTheme="minorEastAsia"/>
          <w:bCs/>
          <w:sz w:val="24"/>
        </w:rPr>
        <w:t>.1.</w:t>
      </w:r>
      <w:r>
        <w:rPr>
          <w:rFonts w:hint="eastAsia" w:cs="宋体" w:asciiTheme="minorEastAsia" w:hAnsiTheme="minorEastAsia" w:eastAsiaTheme="minorEastAsia"/>
          <w:bCs/>
          <w:color w:val="000000"/>
          <w:sz w:val="24"/>
        </w:rPr>
        <w:t>手机端与电脑PC端</w:t>
      </w:r>
      <w:r>
        <w:rPr>
          <w:rFonts w:hint="eastAsia" w:cs="宋体" w:asciiTheme="minorEastAsia" w:hAnsiTheme="minorEastAsia"/>
          <w:bCs/>
          <w:color w:val="000000"/>
          <w:sz w:val="24"/>
          <w:lang w:val="en-US" w:eastAsia="zh-CN"/>
        </w:rPr>
        <w:t>数据</w:t>
      </w:r>
      <w:r>
        <w:rPr>
          <w:rFonts w:hint="eastAsia" w:cs="宋体" w:asciiTheme="minorEastAsia" w:hAnsiTheme="minorEastAsia" w:eastAsiaTheme="minorEastAsia"/>
          <w:bCs/>
          <w:color w:val="000000"/>
          <w:sz w:val="24"/>
        </w:rPr>
        <w:t>互联互通，</w:t>
      </w:r>
      <w:r>
        <w:rPr>
          <w:rFonts w:hint="eastAsia" w:cs="宋体" w:asciiTheme="minorEastAsia" w:hAnsiTheme="minorEastAsia"/>
          <w:bCs/>
          <w:color w:val="000000"/>
          <w:sz w:val="24"/>
          <w:lang w:val="en-US" w:eastAsia="zh-CN"/>
        </w:rPr>
        <w:t>可以</w:t>
      </w:r>
      <w:r>
        <w:rPr>
          <w:rFonts w:hint="eastAsia" w:cs="宋体" w:asciiTheme="minorEastAsia" w:hAnsiTheme="minorEastAsia" w:eastAsiaTheme="minorEastAsia"/>
          <w:bCs/>
          <w:color w:val="000000"/>
          <w:sz w:val="24"/>
        </w:rPr>
        <w:t>实现随时随地进行营养</w:t>
      </w:r>
      <w:r>
        <w:rPr>
          <w:rFonts w:hint="eastAsia" w:cs="宋体" w:asciiTheme="minorEastAsia" w:hAnsiTheme="minorEastAsia"/>
          <w:bCs/>
          <w:color w:val="000000"/>
          <w:sz w:val="24"/>
          <w:lang w:val="en-US" w:eastAsia="zh-CN"/>
        </w:rPr>
        <w:t>评估</w:t>
      </w:r>
      <w:r>
        <w:rPr>
          <w:rFonts w:hint="eastAsia" w:cs="宋体" w:asciiTheme="minorEastAsia" w:hAnsiTheme="minorEastAsia" w:eastAsiaTheme="minorEastAsia"/>
          <w:bCs/>
          <w:color w:val="000000"/>
          <w:sz w:val="24"/>
        </w:rPr>
        <w:t>的工作。</w:t>
      </w:r>
    </w:p>
    <w:p w14:paraId="6F8DA901">
      <w:pPr>
        <w:spacing w:line="360" w:lineRule="auto"/>
        <w:ind w:firstLine="480" w:firstLineChars="200"/>
        <w:rPr>
          <w:rFonts w:hint="eastAsia" w:cs="宋体" w:asciiTheme="minorEastAsia" w:hAnsiTheme="minorEastAsia" w:eastAsiaTheme="minorEastAsia"/>
          <w:bCs/>
          <w:color w:val="000000"/>
          <w:sz w:val="24"/>
        </w:rPr>
      </w:pPr>
      <w:r>
        <w:rPr>
          <w:rFonts w:hint="eastAsia" w:cs="宋体" w:asciiTheme="minorEastAsia" w:hAnsiTheme="minorEastAsia"/>
          <w:bCs/>
          <w:color w:val="000000"/>
          <w:sz w:val="24"/>
          <w:lang w:val="en-US" w:eastAsia="zh-CN"/>
        </w:rPr>
        <w:t>10</w:t>
      </w:r>
      <w:r>
        <w:rPr>
          <w:rFonts w:hint="eastAsia" w:cs="宋体" w:asciiTheme="minorEastAsia" w:hAnsiTheme="minorEastAsia" w:eastAsiaTheme="minorEastAsia"/>
          <w:bCs/>
          <w:color w:val="000000"/>
          <w:sz w:val="24"/>
        </w:rPr>
        <w:t>.2.支持</w:t>
      </w:r>
      <w:r>
        <w:rPr>
          <w:rFonts w:hint="eastAsia" w:cs="宋体" w:asciiTheme="minorEastAsia" w:hAnsiTheme="minorEastAsia"/>
          <w:bCs/>
          <w:color w:val="000000"/>
          <w:sz w:val="24"/>
          <w:lang w:val="en-US" w:eastAsia="zh-CN"/>
        </w:rPr>
        <w:t>客户</w:t>
      </w:r>
      <w:r>
        <w:rPr>
          <w:rFonts w:hint="eastAsia" w:cs="宋体" w:asciiTheme="minorEastAsia" w:hAnsiTheme="minorEastAsia" w:eastAsiaTheme="minorEastAsia"/>
          <w:bCs/>
          <w:color w:val="000000"/>
          <w:sz w:val="24"/>
          <w:lang w:val="en-US" w:eastAsia="zh-CN"/>
        </w:rPr>
        <w:t>通过</w:t>
      </w:r>
      <w:r>
        <w:rPr>
          <w:rFonts w:hint="eastAsia" w:cs="宋体" w:asciiTheme="minorEastAsia" w:hAnsiTheme="minorEastAsia" w:eastAsiaTheme="minorEastAsia"/>
          <w:bCs/>
          <w:color w:val="000000"/>
          <w:sz w:val="24"/>
        </w:rPr>
        <w:t>手机端录入个人</w:t>
      </w:r>
      <w:r>
        <w:rPr>
          <w:rFonts w:hint="eastAsia" w:cs="宋体" w:asciiTheme="minorEastAsia" w:hAnsiTheme="minorEastAsia" w:eastAsiaTheme="minorEastAsia"/>
          <w:bCs/>
          <w:color w:val="000000"/>
          <w:sz w:val="24"/>
          <w:lang w:val="en-US" w:eastAsia="zh-CN"/>
        </w:rPr>
        <w:t>院外</w:t>
      </w:r>
      <w:r>
        <w:rPr>
          <w:rFonts w:hint="eastAsia" w:cs="宋体" w:asciiTheme="minorEastAsia" w:hAnsiTheme="minorEastAsia" w:eastAsiaTheme="minorEastAsia"/>
          <w:bCs/>
          <w:color w:val="000000"/>
          <w:sz w:val="24"/>
        </w:rPr>
        <w:t>指标信息</w:t>
      </w:r>
      <w:r>
        <w:rPr>
          <w:rFonts w:hint="eastAsia" w:cs="宋体" w:asciiTheme="minorEastAsia" w:hAnsiTheme="minorEastAsia" w:eastAsiaTheme="minorEastAsia"/>
          <w:bCs/>
          <w:color w:val="000000"/>
          <w:sz w:val="24"/>
          <w:lang w:eastAsia="zh-CN"/>
        </w:rPr>
        <w:t>，</w:t>
      </w:r>
      <w:r>
        <w:rPr>
          <w:rFonts w:hint="eastAsia" w:cs="宋体" w:asciiTheme="minorEastAsia" w:hAnsiTheme="minorEastAsia" w:eastAsiaTheme="minorEastAsia"/>
          <w:bCs/>
          <w:color w:val="000000"/>
          <w:sz w:val="24"/>
        </w:rPr>
        <w:t>包括：体重、血糖、血压、</w:t>
      </w:r>
      <w:r>
        <w:rPr>
          <w:rFonts w:hint="eastAsia" w:cs="宋体" w:asciiTheme="minorEastAsia" w:hAnsiTheme="minorEastAsia"/>
          <w:bCs/>
          <w:color w:val="000000"/>
          <w:sz w:val="24"/>
          <w:lang w:val="en-US" w:eastAsia="zh-CN"/>
        </w:rPr>
        <w:t>膳食</w:t>
      </w:r>
      <w:r>
        <w:rPr>
          <w:rFonts w:hint="eastAsia" w:cs="宋体" w:asciiTheme="minorEastAsia" w:hAnsiTheme="minorEastAsia" w:eastAsiaTheme="minorEastAsia"/>
          <w:bCs/>
          <w:color w:val="000000"/>
          <w:sz w:val="24"/>
        </w:rPr>
        <w:t>、饮水、运动及胰岛素使用</w:t>
      </w:r>
      <w:r>
        <w:rPr>
          <w:rFonts w:hint="eastAsia" w:cs="宋体" w:asciiTheme="minorEastAsia" w:hAnsiTheme="minorEastAsia" w:eastAsiaTheme="minorEastAsia"/>
          <w:bCs/>
          <w:color w:val="000000"/>
          <w:sz w:val="24"/>
          <w:lang w:val="en-US" w:eastAsia="zh-CN"/>
        </w:rPr>
        <w:t>情况</w:t>
      </w:r>
      <w:r>
        <w:rPr>
          <w:rFonts w:hint="eastAsia" w:cs="宋体" w:asciiTheme="minorEastAsia" w:hAnsiTheme="minorEastAsia"/>
          <w:bCs/>
          <w:color w:val="000000"/>
          <w:sz w:val="24"/>
          <w:lang w:val="en-US" w:eastAsia="zh-CN"/>
        </w:rPr>
        <w:t>数据，将院外管理数据进行整合，在院内可为客户打印相关院外整合数据报告</w:t>
      </w:r>
      <w:r>
        <w:rPr>
          <w:rFonts w:hint="eastAsia" w:cs="宋体" w:asciiTheme="minorEastAsia" w:hAnsiTheme="minorEastAsia" w:eastAsiaTheme="minorEastAsia"/>
          <w:bCs/>
          <w:color w:val="000000"/>
          <w:sz w:val="24"/>
        </w:rPr>
        <w:t>。</w:t>
      </w:r>
    </w:p>
    <w:p w14:paraId="68D30EA5">
      <w:bookmarkStart w:id="0" w:name="_GoBack"/>
      <w:bookmarkEnd w:id="0"/>
    </w:p>
    <w:sectPr>
      <w:pgSz w:w="11906" w:h="16838"/>
      <w:pgMar w:top="1191" w:right="1236" w:bottom="1191"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06A2B"/>
    <w:multiLevelType w:val="multilevel"/>
    <w:tmpl w:val="65106A2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TYxZjlhOTE1OGI2YmU5YTkyODdkMjZiZTlkOTAifQ=="/>
  </w:docVars>
  <w:rsids>
    <w:rsidRoot w:val="00000000"/>
    <w:rsid w:val="11736F75"/>
    <w:rsid w:val="132A4499"/>
    <w:rsid w:val="16F11FE7"/>
    <w:rsid w:val="1E477F64"/>
    <w:rsid w:val="1F16658D"/>
    <w:rsid w:val="1F954D3C"/>
    <w:rsid w:val="2D5F3BF3"/>
    <w:rsid w:val="2D6F09D8"/>
    <w:rsid w:val="2E037CC1"/>
    <w:rsid w:val="31001B67"/>
    <w:rsid w:val="329D3991"/>
    <w:rsid w:val="3CF878F7"/>
    <w:rsid w:val="44881235"/>
    <w:rsid w:val="494E68ED"/>
    <w:rsid w:val="4DBC1ECF"/>
    <w:rsid w:val="5BE65FB3"/>
    <w:rsid w:val="611659E5"/>
    <w:rsid w:val="68273EF8"/>
    <w:rsid w:val="6C555F71"/>
    <w:rsid w:val="6ED736A3"/>
    <w:rsid w:val="77877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unhideWhenUsed/>
    <w:qFormat/>
    <w:uiPriority w:val="0"/>
    <w:pPr>
      <w:spacing w:after="120"/>
    </w:pPr>
  </w:style>
  <w:style w:type="paragraph" w:styleId="4">
    <w:name w:val="Date"/>
    <w:basedOn w:val="1"/>
    <w:next w:val="1"/>
    <w:semiHidden/>
    <w:unhideWhenUsed/>
    <w:qFormat/>
    <w:uiPriority w:val="0"/>
    <w:rPr>
      <w:color w:val="000000"/>
      <w:kern w:val="0"/>
      <w:sz w:val="3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2578</Words>
  <Characters>2771</Characters>
  <Lines>0</Lines>
  <Paragraphs>0</Paragraphs>
  <TotalTime>11</TotalTime>
  <ScaleCrop>false</ScaleCrop>
  <LinksUpToDate>false</LinksUpToDate>
  <CharactersWithSpaces>2779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2021-11-15T10:48:00Z</dcterms:created>
  <dc:creator>Administrator</dc:creator>
  <cp:lastModifiedBy>陈露露</cp:lastModifiedBy>
  <dcterms:modified xsi:type="dcterms:W3CDTF">2026-03-12T00:41:32Z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926869D8A0734E5B9A080F1B735368B0_13</vt:lpwstr>
  </property>
  <property fmtid="{D5CDD505-2E9C-101B-9397-08002B2CF9AE}" pid="4" name="KSOTemplateDocerSaveRecord">
    <vt:lpwstr>eyJoZGlkIjoiODBhZTU0YjRjOGY2N2JhNWI5MDQ0NmEwZTJjNWI0NWMiLCJ1c2VySWQiOiIxNTg4MzQ0MDk5In0=</vt:lpwstr>
  </property>
</Properties>
</file>