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D4EA7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医院含体模的定量CT（QCT）软件采购参数（含采购考量因素对应标注）</w:t>
      </w:r>
    </w:p>
    <w:p w14:paraId="2CB673A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说明：【】内为采购核心考量因素，对应下方具体采购参数条款，方便采购时逐一核对</w:t>
      </w:r>
    </w:p>
    <w:p w14:paraId="64AE643E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一、核心功能参数【核心功能因素：临床核心需求】</w:t>
      </w:r>
      <w:bookmarkEnd w:id="0"/>
    </w:p>
    <w:p w14:paraId="523FEA08">
      <w:pPr>
        <w:spacing w:before="300" w:after="120" w:line="288" w:lineRule="auto"/>
        <w:ind w:left="0"/>
        <w:jc w:val="left"/>
        <w:outlineLvl w:val="2"/>
      </w:pPr>
      <w:bookmarkStart w:id="1" w:name="heading_1"/>
      <w:r>
        <w:rPr>
          <w:rFonts w:ascii="Arial" w:hAnsi="Arial" w:eastAsia="等线" w:cs="Arial"/>
          <w:b/>
          <w:sz w:val="30"/>
        </w:rPr>
        <w:t>（一）骨密度测量功能【骨密度测量能力：部位、精度、诊断标准、风险评估】</w:t>
      </w:r>
      <w:bookmarkEnd w:id="1"/>
    </w:p>
    <w:p w14:paraId="6C6B52CF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测量范围：支持腰椎（T12-L3）、髋部等部位骨密度测量，优先选择L1、L2椎体松质骨测量，可自动取平均值作为诊断结果；当目标椎体存在病变或移位时，支持邻近椎体替代测量。【对应：骨密度测量部位覆盖】</w:t>
      </w:r>
    </w:p>
    <w:p w14:paraId="63F6CE18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测量精度：基于欧洲脊柱体模（ESP）验证，短期精密度误差RMS-%CV≤1.9%，准确度误差波动范围≤±7.6%，支持体积骨密度（vBMD）测量，单位为mg/cm³。【对应：骨密度测量精度】</w:t>
      </w:r>
    </w:p>
    <w:p w14:paraId="64EC8911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诊断标准：内置中国人群QCT骨密度正常参考数据库（≥69811份样本），严格遵循《定量CT在健康管理中的应用指南（2024）》诊断标准：骨密度绝对值＞120mg/cm³为正常，80~120mg/cm³为低骨量，＜80mg/cm³为骨质疏松。【对应：骨密度诊断标准贴合国内指南及中国人群数据库】</w:t>
      </w:r>
    </w:p>
    <w:p w14:paraId="42649AF2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风险评估：支持骨折风险预测，可结合中国人群大数据进行骨质疏松相关骨折风险评估，兼容WHO FRAX骨折风险评估工具。【对应：骨折风险评估功能】</w:t>
      </w:r>
    </w:p>
    <w:p w14:paraId="72681D59">
      <w:pPr>
        <w:spacing w:before="300" w:after="120" w:line="288" w:lineRule="auto"/>
        <w:ind w:left="0"/>
        <w:jc w:val="left"/>
        <w:outlineLvl w:val="2"/>
      </w:pPr>
      <w:bookmarkStart w:id="2" w:name="heading_2"/>
      <w:r>
        <w:rPr>
          <w:rFonts w:ascii="Arial" w:hAnsi="Arial" w:eastAsia="等线" w:cs="Arial"/>
          <w:b/>
          <w:sz w:val="30"/>
        </w:rPr>
        <w:t>（二）多参数定量分析功能【多参数定量分析功能：脂肪、肌肉测量，功能拓展】</w:t>
      </w:r>
      <w:bookmarkEnd w:id="2"/>
    </w:p>
    <w:p w14:paraId="5610A039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脂肪测量：支持肝脏脂肪含量定量测量，测量结果与磁共振PDFF具有高一致性，不同操作人员测量一致性≥96%；支持腹部内脏脂肪面积、皮下脂肪面积测量，默认测量层面为腰2~3椎间盘层面。【对应：脂肪定量测量及一致性】</w:t>
      </w:r>
    </w:p>
    <w:p w14:paraId="482303EA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肌肉测量：可精准测量四肢及椎旁肌肉面积、肌肉密度，支持肌少症评价及疗效监测。【对应：肌肉测量功能】</w:t>
      </w:r>
    </w:p>
    <w:p w14:paraId="6E2D2A06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拓展功能：支持胰腺脂肪含量测量，可用于胰腺炎风险预测及疗效监测（选配模块）。【对应：功能拓展性，满足临床多样化需求】</w:t>
      </w:r>
    </w:p>
    <w:p w14:paraId="472583C2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二、硬件及体模参数【硬件及体模因素：设备适配性、体模配置，保障测量准确性】</w:t>
      </w:r>
      <w:bookmarkEnd w:id="3"/>
    </w:p>
    <w:p w14:paraId="799BCC46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（一）适配性要求【设备适配性：兼容现有CT设备、数据格式及扫描参数】</w:t>
      </w:r>
      <w:bookmarkEnd w:id="4"/>
    </w:p>
    <w:p w14:paraId="17A53538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兼容任何品牌及型号的16排以上CT设备，支持CT数据直接导入分析，无需专用CT设备或单独场地。【对应：兼容现有16排以上CT设备，无需新增专用设备】</w:t>
      </w:r>
    </w:p>
    <w:p w14:paraId="0B767E9C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支持DICOM标准格式数据导入，兼容不同CT扫描参数（管电压100kV~120kV、管电流40mA~250mA），扫描层厚0.625mm~2.5mm时测量准确度误差无统计学意义。【对应：支持DICOM标准，适配不同扫描参数】</w:t>
      </w:r>
    </w:p>
    <w:p w14:paraId="4D5E47F9"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（二）体模配置【体模配置：质控体模、校准功能，满足日常质控】</w:t>
      </w:r>
      <w:bookmarkEnd w:id="5"/>
    </w:p>
    <w:p w14:paraId="01429E4E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核心配置：含同步质控体模、非同步质控体模各1套，体模材质符合羟基磷灰石等效密度校准要求，支持CT值与固态羟基磷灰石密度精准对照。【对应：体模材质及核心配置】</w:t>
      </w:r>
    </w:p>
    <w:p w14:paraId="450BE410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质控功能：体模支持重复扫描校准，重复扫描变异系数（CV%）≤1.5%，满足每月同步质控扫描、每周非同步质控扫描需求。【对应：体模重复校准及质控频率】</w:t>
      </w:r>
    </w:p>
    <w:p w14:paraId="2FC54D65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校准标准：内置体模标定值（低密度50mg/cm³、中密度100mg/cm³、高密度200mg/cm³），支持自动校准CT值与骨密度换算关系。【对应：体模内置标准标定值，支持自动校准】</w:t>
      </w:r>
    </w:p>
    <w:p w14:paraId="4C4E205A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三、软件系统参数【软件系统因素：操作便捷性、数据管理，提升工作效率】</w:t>
      </w:r>
      <w:bookmarkEnd w:id="6"/>
    </w:p>
    <w:p w14:paraId="22C57BD5"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（一）操作及分析功能【操作与分析：自动化、批量处理、报告生成】</w:t>
      </w:r>
      <w:bookmarkEnd w:id="7"/>
    </w:p>
    <w:p w14:paraId="250A6BE4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自动化程度：支持椎体松质骨感兴趣区（ROI）自动识别、勾画，减少人为误差；支持多椎体批量分析，单次扫描数据可生成骨密度、脂肪、肌肉等多维度报告。【对应：自动化操作，减少人为误差，支持批量分析】</w:t>
      </w:r>
    </w:p>
    <w:p w14:paraId="7F065C13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图像处理：支持软组织算法重建，矩阵≥512×512，显示视野（DFOV）≥500mm，可调整冠状、矢状、轴位图像以精准定位测量区域。【对应：图像处理清晰度及定位准确性】</w:t>
      </w:r>
    </w:p>
    <w:p w14:paraId="2E3AAE5A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报告输出：支持标准化报告生成，包含骨密度数值、诊断结论、风险评估结果及与中国人群参考数据库的对比分析；支持报告导出为PDF、DICOM等格式，可与医院HIS/LIS系统对接（可选）。【对应：标准化报告及多格式导出，兼容医院系统】</w:t>
      </w:r>
    </w:p>
    <w:p w14:paraId="6D9F93BA">
      <w:pPr>
        <w:spacing w:before="300" w:after="120" w:line="288" w:lineRule="auto"/>
        <w:ind w:left="0"/>
        <w:jc w:val="left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（二）数据及质控管理【数据与质控：数据存储、质控模块、权限管理】</w:t>
      </w:r>
      <w:bookmarkEnd w:id="8"/>
    </w:p>
    <w:p w14:paraId="79E19249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数据库功能：支持存储≥10万例患者数据，包含患者基本信息、扫描参数、测量结果、随访记录等，支持按时间、部位、诊断结果等条件检索。【对应：大量患者数据存储及检索功能】</w:t>
      </w:r>
    </w:p>
    <w:p w14:paraId="354B4E5A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质控管理：内置质量控制模块，可记录质控扫描结果、设备校准信息，支持异常数据预警；支持操作人员权限分级管理，可追溯测量及报告审核记录。【对应：内置质控模块，权限分级及操作追溯】</w:t>
      </w:r>
    </w:p>
    <w:p w14:paraId="2C163E92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兼容性：支持Windows 10及以上操作系统，支持64位运算，响应时间≤3秒/例，批量处理效率≥50例/小时。【对应：兼容医院现有操作系统，响应高效】</w:t>
      </w:r>
    </w:p>
    <w:p w14:paraId="07138A86"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四、合规及学术支持参数【合规及学术售后因素：合规性、售后保障，控制采购风险】</w:t>
      </w:r>
      <w:bookmarkEnd w:id="9"/>
    </w:p>
    <w:p w14:paraId="742C37FF">
      <w:pPr>
        <w:spacing w:before="300" w:after="120" w:line="288" w:lineRule="auto"/>
        <w:ind w:left="0"/>
        <w:jc w:val="left"/>
        <w:outlineLvl w:val="2"/>
      </w:pPr>
      <w:bookmarkStart w:id="10" w:name="heading_10"/>
      <w:r>
        <w:rPr>
          <w:rFonts w:ascii="Arial" w:hAnsi="Arial" w:eastAsia="等线" w:cs="Arial"/>
          <w:b/>
          <w:sz w:val="30"/>
        </w:rPr>
        <w:t>（一）合规性要求【合规性：资质认证、标准遵循、辐射安全】</w:t>
      </w:r>
      <w:bookmarkEnd w:id="10"/>
    </w:p>
    <w:p w14:paraId="6CA312BF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资质认证：软件及体模需具备中华人民共和国医疗器械注册证（注册证类别：第二类医疗器械），注册证有效期≥3年。【对应：具备合法医疗器械注册证】</w:t>
      </w:r>
    </w:p>
    <w:p w14:paraId="38D79B71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标准符合：严格遵循T/CSBME 053-2022《定量CT骨密度检查扫描技术规范》、《骨密度装备质量控制与应用专家共识（2024）》等国家标准及行业共识。【对应：遵循国家及行业标准】</w:t>
      </w:r>
    </w:p>
    <w:p w14:paraId="6FBDB356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辐射安全：支持低剂量扫描参数适配，在管电流≤80mA条件下，骨密度测量结果准确度误差无统计学意义，符合“合理最低剂量”原则。【对应：适配低剂量扫描，符合辐射安全要求】</w:t>
      </w:r>
    </w:p>
    <w:p w14:paraId="240A4FC5">
      <w:pPr>
        <w:spacing w:before="300" w:after="120" w:line="288" w:lineRule="auto"/>
        <w:ind w:left="0"/>
        <w:jc w:val="left"/>
        <w:outlineLvl w:val="2"/>
      </w:pPr>
      <w:bookmarkStart w:id="11" w:name="heading_11"/>
      <w:r>
        <w:rPr>
          <w:rFonts w:ascii="Arial" w:hAnsi="Arial" w:eastAsia="等线" w:cs="Arial"/>
          <w:b/>
          <w:sz w:val="30"/>
        </w:rPr>
        <w:t>（二）学术及售后支持【学术与售后：培训、科研支持、保修维护】</w:t>
      </w:r>
      <w:bookmarkEnd w:id="11"/>
    </w:p>
    <w:p w14:paraId="39BDCEDA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培训服务：供应商需提供操作人员专项培训，内容包括设备校准、操作规范、报告解读、质控管理等，确保操作人员掌握QCT技术核心要点；每年提供≥2次全国性或区域性学术培训机会。【对应：专业操作培训及学术支持】</w:t>
      </w:r>
    </w:p>
    <w:p w14:paraId="78591D10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科研支持：支持多中心科研合作，可提供数据统计分析工具，协助医院开展骨质疏松、脂肪肝、肌少症等相关课题研究；提供近年相关科研成果案例（含核心期刊论文、科研课题立项证明）。【对应：科研支持，助力医院课题研究】</w:t>
      </w:r>
    </w:p>
    <w:p w14:paraId="01C57B29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售后服务：提供≥3年免费保修服务，包含软件升级、体模维护校准；故障响应时间≤24小时，现场维修≤48小时（同城）；建立定期巡检机制，每年≥2次上门质控检测及设备维护。【对应：长期免费保修、及时故障响应、定期巡检】</w:t>
      </w:r>
    </w:p>
    <w:p w14:paraId="084703C7">
      <w:pPr>
        <w:spacing w:before="320" w:after="120" w:line="288" w:lineRule="auto"/>
        <w:ind w:left="0"/>
        <w:jc w:val="left"/>
        <w:outlineLvl w:val="1"/>
      </w:pPr>
      <w:bookmarkStart w:id="12" w:name="heading_12"/>
      <w:r>
        <w:rPr>
          <w:rFonts w:ascii="Arial" w:hAnsi="Arial" w:eastAsia="等线" w:cs="Arial"/>
          <w:b/>
          <w:sz w:val="32"/>
        </w:rPr>
        <w:t>五、附加要求【附加因素：贴合医院实际场景，保障采购实用性】</w:t>
      </w:r>
      <w:bookmarkEnd w:id="12"/>
    </w:p>
    <w:p w14:paraId="70EB5290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临床案例：供应商需提供安徽省内≥3家三级医院的成功应用案例（含安装科室、使用年限、年检测量人次等信息）。【对应：提供本地三级医院临床案例，参考性强】</w:t>
      </w:r>
    </w:p>
    <w:p w14:paraId="03847E54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医保适配：支持按当地医保收费政策对接骨密度测定、脂肪定量分析等收费项目（提供收费编码适配方案）。【对应：支持医保收费对接，贴合医院收费需求】</w:t>
      </w:r>
    </w:p>
    <w:p w14:paraId="6C252C9A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升级权益：免费享受未来3年内软件功能升级服务，包含新增测量参数、数据库更新、算法优化等。【对应：免费功能升级，保障软件长期实用性】</w:t>
      </w:r>
      <w:bookmarkStart w:id="13" w:name="_GoBack"/>
      <w:bookmarkEnd w:id="13"/>
    </w:p>
    <w:p w14:paraId="2233AF4B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A9E4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6CB5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">
    <w:nsid w:val="9C8AC8EF"/>
    <w:multiLevelType w:val="singleLevel"/>
    <w:tmpl w:val="9C8AC8EF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">
    <w:nsid w:val="B0F1ACD9"/>
    <w:multiLevelType w:val="singleLevel"/>
    <w:tmpl w:val="B0F1ACD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">
    <w:nsid w:val="B5E306ED"/>
    <w:multiLevelType w:val="singleLevel"/>
    <w:tmpl w:val="B5E306ED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">
    <w:nsid w:val="BE923771"/>
    <w:multiLevelType w:val="singleLevel"/>
    <w:tmpl w:val="BE923771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6">
    <w:nsid w:val="C8879AEF"/>
    <w:multiLevelType w:val="singleLevel"/>
    <w:tmpl w:val="C8879AEF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7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8">
    <w:nsid w:val="D7F9FE59"/>
    <w:multiLevelType w:val="singleLevel"/>
    <w:tmpl w:val="D7F9FE5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9">
    <w:nsid w:val="DCBA6B53"/>
    <w:multiLevelType w:val="singleLevel"/>
    <w:tmpl w:val="DCBA6B53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0">
    <w:nsid w:val="F4B5D9F5"/>
    <w:multiLevelType w:val="singleLevel"/>
    <w:tmpl w:val="F4B5D9F5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1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2">
    <w:nsid w:val="0248C179"/>
    <w:multiLevelType w:val="singleLevel"/>
    <w:tmpl w:val="0248C17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3">
    <w:nsid w:val="03D62ECE"/>
    <w:multiLevelType w:val="singleLevel"/>
    <w:tmpl w:val="03D62ECE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4">
    <w:nsid w:val="0E640482"/>
    <w:multiLevelType w:val="singleLevel"/>
    <w:tmpl w:val="0E640482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5">
    <w:nsid w:val="2470EC97"/>
    <w:multiLevelType w:val="singleLevel"/>
    <w:tmpl w:val="2470EC97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6">
    <w:nsid w:val="25B654F3"/>
    <w:multiLevelType w:val="singleLevel"/>
    <w:tmpl w:val="25B654F3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7">
    <w:nsid w:val="2A8F537B"/>
    <w:multiLevelType w:val="singleLevel"/>
    <w:tmpl w:val="2A8F537B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8">
    <w:nsid w:val="46A08BB8"/>
    <w:multiLevelType w:val="singleLevel"/>
    <w:tmpl w:val="46A08BB8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9">
    <w:nsid w:val="4C1BAE26"/>
    <w:multiLevelType w:val="singleLevel"/>
    <w:tmpl w:val="4C1BAE26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0">
    <w:nsid w:val="4D4DC07F"/>
    <w:multiLevelType w:val="singleLevel"/>
    <w:tmpl w:val="4D4DC07F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1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2">
    <w:nsid w:val="5A241D34"/>
    <w:multiLevelType w:val="singleLevel"/>
    <w:tmpl w:val="5A241D34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3">
    <w:nsid w:val="60382F6E"/>
    <w:multiLevelType w:val="singleLevel"/>
    <w:tmpl w:val="60382F6E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4">
    <w:nsid w:val="72183CF9"/>
    <w:multiLevelType w:val="singleLevel"/>
    <w:tmpl w:val="72183CF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5">
    <w:nsid w:val="77ECEA79"/>
    <w:multiLevelType w:val="singleLevel"/>
    <w:tmpl w:val="77ECEA7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6">
    <w:nsid w:val="7C246926"/>
    <w:multiLevelType w:val="singleLevel"/>
    <w:tmpl w:val="7C246926"/>
    <w:lvl w:ilvl="0" w:tentative="0">
      <w:start w:val="1"/>
      <w:numFmt w:val="decimal"/>
      <w:lvlText w:val="%1."/>
      <w:lvlJc w:val="left"/>
      <w:rPr>
        <w:color w:val="3370FF"/>
      </w:rPr>
    </w:lvl>
  </w:abstractNum>
  <w:num w:numId="1">
    <w:abstractNumId w:val="11"/>
  </w:num>
  <w:num w:numId="2">
    <w:abstractNumId w:val="7"/>
  </w:num>
  <w:num w:numId="3">
    <w:abstractNumId w:val="21"/>
  </w:num>
  <w:num w:numId="4">
    <w:abstractNumId w:val="5"/>
  </w:num>
  <w:num w:numId="5">
    <w:abstractNumId w:val="3"/>
  </w:num>
  <w:num w:numId="6">
    <w:abstractNumId w:val="13"/>
  </w:num>
  <w:num w:numId="7">
    <w:abstractNumId w:val="16"/>
  </w:num>
  <w:num w:numId="8">
    <w:abstractNumId w:val="24"/>
  </w:num>
  <w:num w:numId="9">
    <w:abstractNumId w:val="12"/>
  </w:num>
  <w:num w:numId="10">
    <w:abstractNumId w:val="0"/>
  </w:num>
  <w:num w:numId="11">
    <w:abstractNumId w:val="17"/>
  </w:num>
  <w:num w:numId="12">
    <w:abstractNumId w:val="22"/>
  </w:num>
  <w:num w:numId="13">
    <w:abstractNumId w:val="6"/>
  </w:num>
  <w:num w:numId="14">
    <w:abstractNumId w:val="20"/>
  </w:num>
  <w:num w:numId="15">
    <w:abstractNumId w:val="10"/>
  </w:num>
  <w:num w:numId="16">
    <w:abstractNumId w:val="15"/>
  </w:num>
  <w:num w:numId="17">
    <w:abstractNumId w:val="9"/>
  </w:num>
  <w:num w:numId="18">
    <w:abstractNumId w:val="8"/>
  </w:num>
  <w:num w:numId="19">
    <w:abstractNumId w:val="1"/>
  </w:num>
  <w:num w:numId="20">
    <w:abstractNumId w:val="19"/>
  </w:num>
  <w:num w:numId="21">
    <w:abstractNumId w:val="23"/>
  </w:num>
  <w:num w:numId="22">
    <w:abstractNumId w:val="14"/>
  </w:num>
  <w:num w:numId="23">
    <w:abstractNumId w:val="18"/>
  </w:num>
  <w:num w:numId="24">
    <w:abstractNumId w:val="2"/>
  </w:num>
  <w:num w:numId="25">
    <w:abstractNumId w:val="26"/>
  </w:num>
  <w:num w:numId="26">
    <w:abstractNumId w:val="25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348F65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2617</Words>
  <Characters>2856</Characters>
  <TotalTime>4</TotalTime>
  <ScaleCrop>false</ScaleCrop>
  <LinksUpToDate>false</LinksUpToDate>
  <CharactersWithSpaces>2861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2026-03-06T08:27:00Z</dcterms:created>
  <dc:creator>Apache POI</dc:creator>
  <cp:lastModifiedBy>jishuwen</cp:lastModifiedBy>
  <dcterms:modified xsi:type="dcterms:W3CDTF">2026-03-06T08:32:38Z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eyJoZGlkIjoiMzEwNTM5NzYwMDRjMzkwZTVkZjY2ODkwMGIxNGU0OTUiLCJ1c2VySWQiOiIyNzUzNDQ4NDkifQ==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72B23E2C1B524A958588D2F6B8AFBB9F_12</vt:lpwstr>
  </property>
</Properties>
</file>