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9CD2C">
      <w:pPr>
        <w:spacing w:line="360" w:lineRule="auto"/>
        <w:jc w:val="center"/>
        <w:rPr>
          <w:sz w:val="24"/>
          <w:szCs w:val="16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床边心电图机</w:t>
      </w:r>
      <w:r>
        <w:rPr>
          <w:rFonts w:hint="eastAsia" w:ascii="宋体" w:hAnsi="宋体" w:cs="宋体"/>
          <w:b/>
          <w:bCs/>
          <w:sz w:val="44"/>
          <w:szCs w:val="44"/>
        </w:rPr>
        <w:t>参数要求</w:t>
      </w:r>
      <w:bookmarkStart w:id="0" w:name="_Toc361780468"/>
    </w:p>
    <w:bookmarkEnd w:id="0"/>
    <w:tbl>
      <w:tblPr>
        <w:tblStyle w:val="9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1"/>
      </w:tblGrid>
      <w:tr w14:paraId="1F5D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91" w:type="dxa"/>
            <w:tcBorders>
              <w:bottom w:val="nil"/>
            </w:tcBorders>
          </w:tcPr>
          <w:p w14:paraId="0F70EC66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color w:val="auto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</w:rPr>
              <w:t>导数字式心电图机，支持12导心电图同步采集；</w:t>
            </w:r>
          </w:p>
          <w:p w14:paraId="09D51345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★</w:t>
            </w: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</w:rPr>
              <w:t>支持12导心电+心向量同步采集</w:t>
            </w:r>
            <w:r>
              <w:rPr>
                <w:rFonts w:hint="eastAsia"/>
                <w:color w:val="auto"/>
                <w:szCs w:val="21"/>
                <w:highlight w:val="none"/>
              </w:rPr>
              <w:t>【提供软件截图和产品制造商公开发布的资料证明】</w:t>
            </w:r>
          </w:p>
          <w:p w14:paraId="4E50FE6E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/>
                <w:color w:val="auto"/>
                <w:szCs w:val="21"/>
                <w:highlight w:val="none"/>
              </w:rPr>
              <w:t>心电图机一体化平板设计，主机全触控操作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重量最好小于2KG，以轻便为主。</w:t>
            </w:r>
            <w:r>
              <w:rPr>
                <w:rFonts w:hint="eastAsia"/>
                <w:color w:val="auto"/>
                <w:szCs w:val="21"/>
                <w:highlight w:val="none"/>
              </w:rPr>
              <w:t>【提供产品制造商公开发布的资料证明】</w:t>
            </w:r>
          </w:p>
          <w:p w14:paraId="7E245D50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能与</w:t>
            </w:r>
            <w:r>
              <w:rPr>
                <w:rFonts w:hint="eastAsia"/>
                <w:color w:val="auto"/>
                <w:szCs w:val="21"/>
                <w:highlight w:val="none"/>
              </w:rPr>
              <w:t>现有心电信息管理系统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对接</w:t>
            </w:r>
          </w:p>
          <w:p w14:paraId="143D9CED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显示屏幕≥10英寸</w:t>
            </w:r>
          </w:p>
          <w:p w14:paraId="1AB9F735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具备LAN、USB等传输接口</w:t>
            </w:r>
          </w:p>
          <w:p w14:paraId="0A21A207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/>
                <w:color w:val="auto"/>
                <w:szCs w:val="21"/>
                <w:highlight w:val="none"/>
              </w:rPr>
              <w:t>心电图主机支持2.4GHz/5GHz双频段无线Wi-Fi【提供投标型号产品经中华人民共和国工业和信息化部颁发的“无线电发射设备型号核准证”复印件】</w:t>
            </w:r>
          </w:p>
          <w:p w14:paraId="09268943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/>
                <w:color w:val="auto"/>
                <w:szCs w:val="21"/>
                <w:highlight w:val="none"/>
              </w:rPr>
              <w:t>锂电池额定容量≥</w:t>
            </w:r>
            <w:r>
              <w:rPr>
                <w:color w:val="auto"/>
                <w:szCs w:val="21"/>
                <w:highlight w:val="none"/>
              </w:rPr>
              <w:t>80</w:t>
            </w:r>
            <w:r>
              <w:rPr>
                <w:rFonts w:hint="eastAsia"/>
                <w:color w:val="auto"/>
                <w:szCs w:val="21"/>
                <w:highlight w:val="none"/>
              </w:rPr>
              <w:t>00mAh，支持</w:t>
            </w:r>
            <w:r>
              <w:rPr>
                <w:color w:val="auto"/>
                <w:szCs w:val="21"/>
                <w:highlight w:val="none"/>
              </w:rPr>
              <w:t>8</w:t>
            </w:r>
            <w:r>
              <w:rPr>
                <w:rFonts w:hint="eastAsia"/>
                <w:color w:val="auto"/>
                <w:szCs w:val="21"/>
                <w:highlight w:val="none"/>
              </w:rPr>
              <w:t>小时以上连续工作【提供产品说明书证明】</w:t>
            </w:r>
          </w:p>
          <w:p w14:paraId="5AAF3F18">
            <w:pPr>
              <w:pStyle w:val="15"/>
              <w:numPr>
                <w:ilvl w:val="0"/>
                <w:numId w:val="1"/>
              </w:numPr>
              <w:ind w:left="420" w:leftChars="0" w:firstLineChars="0"/>
              <w:rPr>
                <w:color w:val="auto"/>
                <w:szCs w:val="21"/>
                <w:highlight w:val="none"/>
              </w:rPr>
            </w:pP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/>
                <w:color w:val="auto"/>
                <w:szCs w:val="21"/>
                <w:highlight w:val="none"/>
              </w:rPr>
              <w:t>支持优先诊断危急值检查数据，以提醒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工作站</w:t>
            </w:r>
            <w:r>
              <w:rPr>
                <w:rFonts w:hint="eastAsia"/>
                <w:color w:val="auto"/>
                <w:szCs w:val="21"/>
                <w:highlight w:val="none"/>
              </w:rPr>
              <w:t>优先诊断。【提供急性心肌梗死预警系统相关的软件著作权证书复印件证明】</w:t>
            </w:r>
          </w:p>
          <w:p w14:paraId="413B29D6">
            <w:pPr>
              <w:pStyle w:val="15"/>
              <w:numPr>
                <w:ilvl w:val="0"/>
                <w:numId w:val="1"/>
              </w:numPr>
              <w:ind w:left="420" w:leftChars="0" w:firstLineChars="0"/>
              <w:rPr>
                <w:color w:val="auto"/>
                <w:szCs w:val="21"/>
                <w:highlight w:val="none"/>
              </w:rPr>
            </w:pP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/>
                <w:color w:val="auto"/>
                <w:szCs w:val="21"/>
                <w:highlight w:val="none"/>
              </w:rPr>
              <w:t>具备全导联起搏检测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功能</w:t>
            </w:r>
            <w:r>
              <w:rPr>
                <w:rFonts w:hint="eastAsia"/>
                <w:color w:val="auto"/>
                <w:szCs w:val="21"/>
                <w:highlight w:val="none"/>
              </w:rPr>
              <w:t>，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能</w:t>
            </w:r>
            <w:r>
              <w:rPr>
                <w:rFonts w:hint="eastAsia"/>
                <w:color w:val="auto"/>
                <w:szCs w:val="21"/>
                <w:highlight w:val="none"/>
              </w:rPr>
              <w:t>准确识别起搏信号【提供国家药品监督管理局直属检测单位签发的检测报告证明】</w:t>
            </w:r>
          </w:p>
          <w:p w14:paraId="05D95FF1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阿托品试验采集及处理流程【提供标注该功能描述的医疗器械注册证所在页复印件】</w:t>
            </w:r>
          </w:p>
          <w:p w14:paraId="2E2DFF20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</w:rPr>
              <w:t>支持</w:t>
            </w: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各</w:t>
            </w: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</w:rPr>
              <w:t>导联脱落、伪差、左右手接反、无法识别、心律失常波形的自动检测和提示功能。</w:t>
            </w:r>
          </w:p>
          <w:p w14:paraId="2470D6E6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消息实时提醒功能，如危急报告提醒、导联纠错提醒。</w:t>
            </w:r>
          </w:p>
          <w:p w14:paraId="15C0C053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共模抑制比：＞</w:t>
            </w:r>
            <w:r>
              <w:rPr>
                <w:color w:val="auto"/>
                <w:szCs w:val="21"/>
                <w:highlight w:val="none"/>
              </w:rPr>
              <w:t>125</w:t>
            </w:r>
            <w:r>
              <w:rPr>
                <w:rFonts w:hint="eastAsia"/>
                <w:color w:val="auto"/>
                <w:szCs w:val="21"/>
                <w:highlight w:val="none"/>
              </w:rPr>
              <w:t>dB（默认交流滤波关闭）【提供医疗器械注册证或检测报告证明材料】</w:t>
            </w:r>
          </w:p>
          <w:p w14:paraId="52B19096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频响范围：</w:t>
            </w:r>
            <w:r>
              <w:rPr>
                <w:color w:val="auto"/>
                <w:szCs w:val="21"/>
                <w:highlight w:val="none"/>
              </w:rPr>
              <w:t>0.05Hz~350Hz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（-30%～+10%） </w:t>
            </w:r>
          </w:p>
          <w:p w14:paraId="0104BA84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存储量：支持10000份心电数据存储</w:t>
            </w:r>
          </w:p>
          <w:p w14:paraId="74977579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/>
                <w:color w:val="auto"/>
                <w:szCs w:val="21"/>
                <w:highlight w:val="none"/>
              </w:rPr>
              <w:t>QTc参数测量：内置</w:t>
            </w:r>
            <w:r>
              <w:rPr>
                <w:color w:val="auto"/>
                <w:szCs w:val="21"/>
                <w:highlight w:val="none"/>
              </w:rPr>
              <w:t>6</w:t>
            </w:r>
            <w:r>
              <w:rPr>
                <w:rFonts w:hint="eastAsia"/>
                <w:color w:val="auto"/>
                <w:szCs w:val="21"/>
                <w:highlight w:val="none"/>
              </w:rPr>
              <w:t>种及以上测量算法，QTc计算方法可通过系统设置调阅并设置【提供QTc算法功能截图证明材料】</w:t>
            </w:r>
          </w:p>
          <w:p w14:paraId="71828FD3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支持批量下载预约记录功能，并支持待检查列表显示，列表应包含检查姓名、性别、年龄等信息。</w:t>
            </w:r>
          </w:p>
          <w:p w14:paraId="7471767B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</w:rPr>
              <w:t>心电图机支持本地报告进行同屏对比</w:t>
            </w:r>
            <w:r>
              <w:rPr>
                <w:rFonts w:hint="eastAsia"/>
                <w:color w:val="auto"/>
                <w:szCs w:val="21"/>
                <w:highlight w:val="none"/>
              </w:rPr>
              <w:t>【提供功能截图证明材料】</w:t>
            </w:r>
          </w:p>
          <w:p w14:paraId="2961E360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</w:rPr>
              <w:t>支持V5R、V3R、V1、V3、V5、V7儿童模式心电图采集。</w:t>
            </w:r>
          </w:p>
          <w:p w14:paraId="0FB5D5DF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bookmarkStart w:id="1" w:name="_Hlk129872705"/>
            <w:r>
              <w:rPr>
                <w:rStyle w:val="22"/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★</w:t>
            </w:r>
            <w:r>
              <w:rPr>
                <w:color w:val="auto"/>
                <w:highlight w:val="none"/>
              </w:rPr>
              <w:t>支持在采集端将心电图原始数据生成二维码，并通过</w:t>
            </w:r>
            <w:r>
              <w:rPr>
                <w:rFonts w:hint="eastAsia"/>
                <w:color w:val="auto"/>
                <w:highlight w:val="none"/>
              </w:rPr>
              <w:t>手机端</w:t>
            </w:r>
            <w:r>
              <w:rPr>
                <w:color w:val="auto"/>
                <w:highlight w:val="none"/>
              </w:rPr>
              <w:t>微信</w:t>
            </w:r>
            <w:r>
              <w:rPr>
                <w:rFonts w:hint="eastAsia"/>
                <w:color w:val="auto"/>
                <w:highlight w:val="none"/>
              </w:rPr>
              <w:t>分享形式将心电图原始波形从内网传输至外网，物理隔离保障网络安全，可应对因</w:t>
            </w:r>
            <w:r>
              <w:rPr>
                <w:color w:val="auto"/>
                <w:highlight w:val="none"/>
              </w:rPr>
              <w:t>网络异常、系统异常导致心电图无法上传至心电诊断中心</w:t>
            </w:r>
            <w:r>
              <w:rPr>
                <w:rFonts w:hint="eastAsia"/>
                <w:color w:val="auto"/>
                <w:highlight w:val="none"/>
              </w:rPr>
              <w:t>等情况。【需提供软件界面截图证明及承诺函，并在项目中标后</w:t>
            </w:r>
            <w:r>
              <w:rPr>
                <w:color w:val="auto"/>
                <w:highlight w:val="none"/>
              </w:rPr>
              <w:t>3个自然日内根据采购人指定地点进行功能演示】</w:t>
            </w:r>
          </w:p>
          <w:bookmarkEnd w:id="1"/>
          <w:p w14:paraId="4FA9748E">
            <w:pPr>
              <w:pStyle w:val="15"/>
              <w:widowControl/>
              <w:numPr>
                <w:ilvl w:val="0"/>
                <w:numId w:val="1"/>
              </w:numPr>
              <w:ind w:left="420" w:leftChars="0" w:firstLineChars="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任意心搏放大、单导联图谱漂移功能、全屏图谱漂移功能</w:t>
            </w:r>
          </w:p>
          <w:p w14:paraId="4D7F1538">
            <w:pPr>
              <w:pStyle w:val="15"/>
              <w:numPr>
                <w:ilvl w:val="0"/>
                <w:numId w:val="1"/>
              </w:numPr>
              <w:ind w:left="420" w:leftChars="0" w:firstLineChars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支持心电事件、起搏心电、晚电位功能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。</w:t>
            </w:r>
            <w:bookmarkStart w:id="2" w:name="_GoBack"/>
            <w:bookmarkEnd w:id="2"/>
          </w:p>
        </w:tc>
      </w:tr>
    </w:tbl>
    <w:p w14:paraId="7A330A82">
      <w:pPr>
        <w:shd w:val="clear" w:color="auto" w:fill="FFFFFF"/>
        <w:spacing w:line="360" w:lineRule="auto"/>
      </w:pPr>
    </w:p>
    <w:p w14:paraId="0C7572CD"/>
    <w:sectPr>
      <w:headerReference r:id="rId3" w:type="default"/>
      <w:footerReference r:id="rId4" w:type="default"/>
      <w:pgSz w:w="11850" w:h="16783"/>
      <w:pgMar w:top="1440" w:right="1800" w:bottom="1440" w:left="1800" w:header="737" w:footer="680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7909">
    <w:pPr>
      <w:pStyle w:val="7"/>
    </w:pPr>
    <w:r>
      <w:rPr>
        <w:rFonts w:hint="eastAsia"/>
        <w:b/>
        <w:i/>
      </w:rPr>
      <w:t xml:space="preserve">            </w:t>
    </w:r>
    <w:r>
      <w:rPr>
        <w:rFonts w:hint="eastAsia"/>
      </w:rPr>
      <w:t xml:space="preserve">                       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</w:t>
    </w:r>
    <w:r>
      <w:rPr>
        <w:rStyle w:val="11"/>
        <w:rFonts w:hint="eastAsia"/>
      </w:rPr>
      <w:t xml:space="preserve">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BCC31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OGUyODNjNWZkZGQ2YThkODc2YTIzMTZjNjcxMjkifQ=="/>
  </w:docVars>
  <w:rsids>
    <w:rsidRoot w:val="00000000"/>
    <w:rsid w:val="00B45FDE"/>
    <w:rsid w:val="04B643E9"/>
    <w:rsid w:val="08537982"/>
    <w:rsid w:val="22E805EC"/>
    <w:rsid w:val="37AB5678"/>
    <w:rsid w:val="3DCA3981"/>
    <w:rsid w:val="485762B0"/>
    <w:rsid w:val="521D0B67"/>
    <w:rsid w:val="5AEE56F8"/>
    <w:rsid w:val="7C713418"/>
    <w:rsid w:val="7FB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360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qFormat/>
    <w:uiPriority w:val="99"/>
    <w:pPr>
      <w:jc w:val="left"/>
    </w:pPr>
  </w:style>
  <w:style w:type="paragraph" w:styleId="6">
    <w:name w:val="Balloon Text"/>
    <w:basedOn w:val="1"/>
    <w:link w:val="19"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99"/>
  </w:style>
  <w:style w:type="character" w:customStyle="1" w:styleId="12">
    <w:name w:val="标题 3 字符"/>
    <w:basedOn w:val="10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14">
    <w:name w:val="标题 2 字符"/>
    <w:basedOn w:val="10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15">
    <w:name w:val="List Paragraph"/>
    <w:basedOn w:val="1"/>
    <w:link w:val="21"/>
    <w:qFormat/>
    <w:uiPriority w:val="34"/>
    <w:pPr>
      <w:ind w:firstLine="420" w:firstLineChars="200"/>
    </w:pPr>
  </w:style>
  <w:style w:type="character" w:customStyle="1" w:styleId="16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5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框文本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sz w:val="24"/>
      <w:szCs w:val="24"/>
    </w:rPr>
  </w:style>
  <w:style w:type="character" w:customStyle="1" w:styleId="21">
    <w:name w:val="列表段落 字符"/>
    <w:link w:val="15"/>
    <w:qFormat/>
    <w:uiPriority w:val="34"/>
    <w:rPr>
      <w:rFonts w:ascii="Times New Roman" w:hAnsi="Times New Roman" w:eastAsia="宋体" w:cs="Times New Roman"/>
      <w:szCs w:val="20"/>
    </w:rPr>
  </w:style>
  <w:style w:type="character" w:customStyle="1" w:styleId="2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HaoXiTong.Com</Company>
  <Pages>1</Pages>
  <Words>2057</Words>
  <Characters>2204</Characters>
  <Paragraphs>93</Paragraphs>
  <TotalTime>12</TotalTime>
  <ScaleCrop>false</ScaleCrop>
  <LinksUpToDate>false</LinksUpToDate>
  <CharactersWithSpaces>2320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2019-04-08T03:41:00Z</dcterms:created>
  <dc:creator>PC</dc:creator>
  <cp:lastModifiedBy>ASUS</cp:lastModifiedBy>
  <dcterms:modified xsi:type="dcterms:W3CDTF">2025-08-21T07:48:31Z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40aae9ee4ac34df781ea0161133a50bd_23</vt:lpwstr>
  </property>
</Properties>
</file>