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175ED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.透析使用</w:t>
      </w:r>
      <w:r>
        <w:rPr>
          <w:rFonts w:hint="eastAsia" w:ascii="宋体" w:hAnsi="宋体" w:eastAsia="宋体" w:cs="宋体"/>
          <w:sz w:val="36"/>
          <w:szCs w:val="36"/>
          <w:highlight w:val="none"/>
          <w:lang w:val="en-US" w:eastAsia="zh-CN"/>
        </w:rPr>
        <w:t>护理包</w:t>
      </w:r>
    </w:p>
    <w:p w14:paraId="409FD285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可个性化定制。</w:t>
      </w:r>
    </w:p>
    <w:p w14:paraId="4EA4C351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推荐配置：</w:t>
      </w:r>
    </w:p>
    <w:p w14:paraId="56F3FA31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1.两副手套，10条胶布，2个棉卷，消毒棉签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10根，治疗巾一个（穿刺包）</w:t>
      </w:r>
    </w:p>
    <w:p w14:paraId="7680D1EC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2.两副手套，2条胶布，消毒棉签10根，治疗巾一个，纱布2块其中一个单独包装。（导管包）</w:t>
      </w:r>
    </w:p>
    <w:p w14:paraId="168A13AF">
      <w:pPr>
        <w:numPr>
          <w:ilvl w:val="0"/>
          <w:numId w:val="0"/>
        </w:numPr>
        <w:tabs>
          <w:tab w:val="left" w:pos="1011"/>
        </w:tabs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.血液透析</w:t>
      </w:r>
      <w:r>
        <w:rPr>
          <w:rFonts w:hint="eastAsia" w:ascii="宋体" w:hAnsi="宋体" w:eastAsia="宋体" w:cs="宋体"/>
          <w:sz w:val="36"/>
          <w:szCs w:val="36"/>
          <w:highlight w:val="none"/>
          <w:lang w:val="en-US" w:eastAsia="zh-CN"/>
        </w:rPr>
        <w:t>B干粉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袋、B干粉桶</w:t>
      </w:r>
    </w:p>
    <w:p w14:paraId="2AA41948">
      <w:pPr>
        <w:numPr>
          <w:ilvl w:val="0"/>
          <w:numId w:val="0"/>
        </w:numPr>
        <w:tabs>
          <w:tab w:val="left" w:pos="1011"/>
        </w:tabs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1、为了减少透析治疗过程中不良反应，细菌内毒素小于等于0.5EU/ml，超过行业透析液标准；                                     </w:t>
      </w:r>
    </w:p>
    <w:p w14:paraId="0541F85E">
      <w:pPr>
        <w:numPr>
          <w:ilvl w:val="0"/>
          <w:numId w:val="0"/>
        </w:numPr>
        <w:tabs>
          <w:tab w:val="left" w:pos="1011"/>
        </w:tabs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2、采用进口透析专用级碳酸氢钠；</w:t>
      </w:r>
    </w:p>
    <w:p w14:paraId="3D0A4BCE">
      <w:pPr>
        <w:numPr>
          <w:ilvl w:val="0"/>
          <w:numId w:val="0"/>
        </w:numPr>
        <w:tabs>
          <w:tab w:val="left" w:pos="1011"/>
        </w:tabs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3、本品通过ISO认证；</w:t>
      </w:r>
    </w:p>
    <w:p w14:paraId="074FD535">
      <w:pPr>
        <w:numPr>
          <w:ilvl w:val="0"/>
          <w:numId w:val="0"/>
        </w:numPr>
        <w:tabs>
          <w:tab w:val="left" w:pos="1011"/>
        </w:tabs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4、血液透析浓缩物的需氧菌总数应不大于100CFU/ml,霉菌和酵母菌总数应不大于10CFU/ml，大肠埃希菌应不得检出；</w:t>
      </w:r>
    </w:p>
    <w:p w14:paraId="45AA686F">
      <w:pPr>
        <w:numPr>
          <w:ilvl w:val="0"/>
          <w:numId w:val="0"/>
        </w:numPr>
        <w:tabs>
          <w:tab w:val="left" w:pos="1011"/>
        </w:tabs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5、不溶性微粒状况：本品稀释为透析液后，扣除本底后微粒含量：≥10um微粒不大于25个/ml，≥25um的微粒不大于3个/ml；</w:t>
      </w:r>
    </w:p>
    <w:p w14:paraId="1EE416D4">
      <w:pPr>
        <w:numPr>
          <w:ilvl w:val="0"/>
          <w:numId w:val="0"/>
        </w:numPr>
        <w:tabs>
          <w:tab w:val="left" w:pos="1011"/>
        </w:tabs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6、规格为6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0g/袋（瓶）、700g/袋（瓶），为了保证透析过程中安全与治疗效果需与A液为同一品牌。</w:t>
      </w:r>
    </w:p>
    <w:p w14:paraId="363AAAD7">
      <w:pPr>
        <w:tabs>
          <w:tab w:val="left" w:pos="2106"/>
        </w:tabs>
        <w:spacing w:line="360" w:lineRule="auto"/>
        <w:ind w:right="185" w:rightChars="88"/>
        <w:rPr>
          <w:rFonts w:hint="eastAsia" w:ascii="宋体" w:hAnsi="宋体" w:eastAsia="宋体" w:cs="宋体"/>
          <w:color w:val="auto"/>
          <w:sz w:val="24"/>
          <w:highlight w:val="red"/>
          <w:lang w:val="en-US" w:eastAsia="zh-CN"/>
        </w:rPr>
      </w:pPr>
      <w:r>
        <w:rPr>
          <w:rFonts w:hint="eastAsia" w:ascii="宋体" w:hAnsi="宋体" w:cs="宋体"/>
          <w:color w:val="auto"/>
          <w:sz w:val="36"/>
          <w:szCs w:val="36"/>
          <w:lang w:val="en-US" w:eastAsia="zh-CN"/>
        </w:rPr>
        <w:t>三．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透析液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  <w:t>过滤器</w:t>
      </w:r>
    </w:p>
    <w:p w14:paraId="4F996F6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本产品由密封圈、密封胶、中空纤维膜、壳体、端盖、 </w:t>
      </w:r>
    </w:p>
    <w:p w14:paraId="7E35050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端帽组成。其中密封圈的材料为硅橡胶，中空纤维膜的 </w:t>
      </w:r>
    </w:p>
    <w:p w14:paraId="392A3C2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材料为聚醚砜，壳体、端盖的材料为聚丙烯，端帽的材 </w:t>
      </w:r>
    </w:p>
    <w:p w14:paraId="60BA4EE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料为聚乙烯，本产品经辐照灭菌（电子束）。 </w:t>
      </w:r>
    </w:p>
    <w:p w14:paraId="10E9BEE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本产品须结合透析装置一起使用，用于去除透析液中的 </w:t>
      </w:r>
    </w:p>
    <w:p w14:paraId="6E3FA9F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细菌与内毒素及不溶性微粒。</w:t>
      </w:r>
    </w:p>
    <w:p w14:paraId="163387A5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技术参数：</w:t>
      </w:r>
    </w:p>
    <w:p w14:paraId="67E31F1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 w:bidi="ar"/>
        </w:rPr>
        <w:t>膜材质: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聚醚砜（PES）</w:t>
      </w:r>
    </w:p>
    <w:p w14:paraId="6DFF0B6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 w:bidi="ar"/>
        </w:rPr>
        <w:t>纤维膜内径: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200±20（μm）</w:t>
      </w:r>
    </w:p>
    <w:p w14:paraId="3499148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 w:bidi="ar"/>
        </w:rPr>
        <w:t>纤维膜壁厚: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40±10（μm）</w:t>
      </w:r>
    </w:p>
    <w:p w14:paraId="6AC46D0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 w:bidi="ar"/>
        </w:rPr>
        <w:t>滤过率: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≥1000mL/min</w:t>
      </w:r>
    </w:p>
    <w:p w14:paraId="4CAA7F2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 w:bidi="ar"/>
        </w:rPr>
        <w:t>细菌滤除性能: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滤过液中细菌含量≤1CFU/10mL</w:t>
      </w:r>
    </w:p>
    <w:p w14:paraId="264D512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 w:bidi="ar"/>
        </w:rPr>
        <w:t>微粒滤除性能: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滤过液中10μm及10μm以上微粒含量≤25个/mL</w:t>
      </w:r>
    </w:p>
    <w:p w14:paraId="102D82F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 w:bidi="ar"/>
        </w:rPr>
        <w:t>内毒素滤除性能: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滤过液中的内毒素含量＜0.03EU/mL</w:t>
      </w:r>
    </w:p>
    <w:p w14:paraId="4A9417F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 w:bidi="ar"/>
        </w:rPr>
        <w:t>最大使用压力: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200（KPa）</w:t>
      </w:r>
    </w:p>
    <w:p w14:paraId="401AF18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 w:bidi="ar"/>
        </w:rPr>
        <w:t>灭菌方式: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电子束辐射灭菌</w:t>
      </w:r>
    </w:p>
    <w:p w14:paraId="0B348F7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 w:bidi="ar"/>
        </w:rPr>
        <w:t>使用寿命: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最大使用次数为160次或最长使用时间为3个月，以最先到达时间为准</w:t>
      </w:r>
    </w:p>
    <w:p w14:paraId="0A48887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3E3E3F"/>
          <w:kern w:val="0"/>
          <w:sz w:val="24"/>
          <w:szCs w:val="24"/>
          <w:lang w:val="en-US" w:eastAsia="zh-CN" w:bidi="ar"/>
        </w:rPr>
        <w:t>清洗消毒: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根据血液透析装置操作说明书进行清洗消毒</w:t>
      </w:r>
    </w:p>
    <w:p w14:paraId="6059F6EC">
      <w:pPr>
        <w:rPr>
          <w:rFonts w:hint="eastAsia" w:ascii="宋体" w:hAnsi="宋体" w:eastAsia="宋体" w:cs="宋体"/>
          <w:b w:val="0"/>
          <w:bCs w:val="0"/>
          <w:color w:val="000000"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color w:val="000000"/>
          <w:sz w:val="36"/>
          <w:szCs w:val="36"/>
          <w:lang w:val="en-US" w:eastAsia="zh-CN"/>
        </w:rPr>
        <w:t>四.</w:t>
      </w:r>
      <w:r>
        <w:rPr>
          <w:rFonts w:hint="eastAsia" w:ascii="宋体" w:hAnsi="宋体" w:eastAsia="宋体" w:cs="宋体"/>
          <w:b w:val="0"/>
          <w:bCs w:val="0"/>
          <w:color w:val="000000"/>
          <w:sz w:val="36"/>
          <w:szCs w:val="36"/>
        </w:rPr>
        <w:t>血透机用 50%柠檬酸消</w:t>
      </w:r>
      <w:r>
        <w:rPr>
          <w:rFonts w:hint="eastAsia" w:ascii="宋体" w:hAnsi="宋体" w:eastAsia="宋体" w:cs="宋体"/>
          <w:b w:val="0"/>
          <w:bCs w:val="0"/>
          <w:color w:val="000000"/>
          <w:sz w:val="36"/>
          <w:szCs w:val="36"/>
          <w:highlight w:val="none"/>
        </w:rPr>
        <w:t>毒液</w:t>
      </w:r>
    </w:p>
    <w:p w14:paraId="3F875AC7">
      <w:pP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外观剂型 透明液体 规格 5L/桶 </w:t>
      </w:r>
    </w:p>
    <w:p w14:paraId="4854E14E">
      <w:pP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主要有效成分及含量 柠檬酸；柠檬酸含量为 50%±5% PH 0-1.0（提供第三方检测报告） </w:t>
      </w:r>
    </w:p>
    <w:p w14:paraId="53658AFB">
      <w:pP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适用范围 专用于带比例混合系统能加温至 84℃的血透机消毒 </w:t>
      </w:r>
    </w:p>
    <w:p w14:paraId="12FE6BD0">
      <w:pP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有效期 24 个月 微生物杀灭试验 温度在 84℃以上可杀灭细菌芽孢，并能灭活病毒，提供第三方检 测报告 金属腐蚀性 不锈钢基本无腐蚀 安全性试验 无刺激，无毒级，无致微核作用，提供安全性试验的第三方检测 报告 </w:t>
      </w:r>
    </w:p>
    <w:p w14:paraId="3F240477">
      <w:pP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新宋体" w:hAnsi="新宋体" w:eastAsia="新宋体" w:cs="新宋体"/>
          <w:sz w:val="36"/>
          <w:szCs w:val="36"/>
          <w:lang w:val="en-US" w:eastAsia="zh-CN"/>
        </w:rPr>
        <w:t>五.</w:t>
      </w:r>
      <w:r>
        <w:rPr>
          <w:rFonts w:hint="eastAsia" w:ascii="新宋体" w:hAnsi="新宋体" w:eastAsia="新宋体" w:cs="新宋体"/>
          <w:sz w:val="36"/>
          <w:szCs w:val="36"/>
        </w:rPr>
        <w:t>一次性使用血液</w:t>
      </w:r>
      <w:r>
        <w:rPr>
          <w:rFonts w:hint="eastAsia" w:ascii="新宋体" w:hAnsi="新宋体" w:eastAsia="新宋体" w:cs="新宋体"/>
          <w:sz w:val="36"/>
          <w:szCs w:val="36"/>
          <w:highlight w:val="none"/>
        </w:rPr>
        <w:t>灌流器</w:t>
      </w:r>
      <w:r>
        <w:rPr>
          <w:rFonts w:hint="eastAsia" w:ascii="新宋体" w:hAnsi="新宋体" w:eastAsia="新宋体" w:cs="新宋体"/>
          <w:sz w:val="36"/>
          <w:szCs w:val="36"/>
        </w:rPr>
        <w:t>参数</w:t>
      </w:r>
    </w:p>
    <w:p w14:paraId="6F73E866"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使用范围：本品与血液净化装置配合进行血液灌流治疗，利用合成树脂的吸附作用，通过体外循环血液灌流的方法来清除人体内源性和外源性代谢产物、毒物和余量药物。</w:t>
      </w:r>
    </w:p>
    <w:p w14:paraId="0C87420F">
      <w:pPr>
        <w:pStyle w:val="4"/>
        <w:numPr>
          <w:ilvl w:val="0"/>
          <w:numId w:val="1"/>
        </w:numPr>
        <w:spacing w:line="360" w:lineRule="auto"/>
        <w:ind w:left="426" w:hanging="426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技术参数：本品由柱体、吸附剂和注射用水三部分组成</w:t>
      </w:r>
    </w:p>
    <w:p w14:paraId="591D9ADC">
      <w:pPr>
        <w:pStyle w:val="4"/>
        <w:numPr>
          <w:ilvl w:val="0"/>
          <w:numId w:val="0"/>
        </w:numPr>
        <w:spacing w:line="360" w:lineRule="auto"/>
        <w:ind w:left="1626"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柱体由端盖、盖帽、密封塞、密封圈、筒体和网架组成，端盖、盖帽、筒体材质为聚碳酸酯，密封塞、密封圈材质为硅橡胶，网架材质为聚丙烯，滤网材质为尼龙。</w:t>
      </w:r>
    </w:p>
    <w:p w14:paraId="2E4819D1">
      <w:pPr>
        <w:pStyle w:val="4"/>
        <w:numPr>
          <w:ilvl w:val="0"/>
          <w:numId w:val="0"/>
        </w:numPr>
        <w:spacing w:line="360" w:lineRule="auto"/>
        <w:ind w:firstLine="1440" w:firstLineChars="6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 xml:space="preserve">吸附剂为聚乙烯中性大孔树脂，包膜材料为火棉胶。                                </w:t>
      </w:r>
    </w:p>
    <w:p w14:paraId="315B19C2">
      <w:pPr>
        <w:pStyle w:val="4"/>
        <w:numPr>
          <w:ilvl w:val="0"/>
          <w:numId w:val="0"/>
        </w:numPr>
        <w:spacing w:line="360" w:lineRule="auto"/>
        <w:ind w:firstLine="1440" w:firstLineChars="6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注射用水符合中国药典（2010版）要求。</w:t>
      </w:r>
    </w:p>
    <w:p w14:paraId="2B247607">
      <w:pPr>
        <w:pStyle w:val="4"/>
        <w:numPr>
          <w:ilvl w:val="0"/>
          <w:numId w:val="0"/>
        </w:numPr>
        <w:spacing w:line="360" w:lineRule="auto"/>
        <w:ind w:firstLine="1440" w:firstLineChars="6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产品经γ射线辐射灭菌，一次性使用。</w:t>
      </w:r>
    </w:p>
    <w:p w14:paraId="3A166232">
      <w:pPr>
        <w:pStyle w:val="4"/>
        <w:numPr>
          <w:ilvl w:val="0"/>
          <w:numId w:val="0"/>
        </w:numPr>
        <w:spacing w:line="360" w:lineRule="auto"/>
        <w:ind w:left="1626"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吸附性能：按产品标准检测，戊巴比妥钠的浓度的下降率不低于85%，肌酐的浓度的下降率不低于60%，维生素B12的浓度的下降率不低于95%。</w:t>
      </w:r>
    </w:p>
    <w:p w14:paraId="760B4928">
      <w:pPr>
        <w:pStyle w:val="4"/>
        <w:numPr>
          <w:ilvl w:val="0"/>
          <w:numId w:val="0"/>
        </w:numPr>
        <w:spacing w:line="360" w:lineRule="auto"/>
        <w:ind w:left="1626"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本产品罐体内部阻力≤4kPa，最高血流量250Ml/min，可耐受100kPa的压力，最高使用压力为100kPa。灌流时间一般为120-150分钟。</w:t>
      </w:r>
    </w:p>
    <w:p w14:paraId="22AC7E36">
      <w:pPr>
        <w:pStyle w:val="4"/>
        <w:numPr>
          <w:ilvl w:val="0"/>
          <w:numId w:val="0"/>
        </w:numPr>
        <w:spacing w:line="360" w:lineRule="auto"/>
        <w:ind w:left="1626"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7、树脂装载量≥130ml。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</w:t>
      </w:r>
    </w:p>
    <w:p w14:paraId="2EED6BF5">
      <w:pPr>
        <w:pStyle w:val="4"/>
        <w:numPr>
          <w:ilvl w:val="0"/>
          <w:numId w:val="0"/>
        </w:numPr>
        <w:spacing w:line="360" w:lineRule="auto"/>
        <w:ind w:firstLine="1680" w:firstLineChars="7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8、符合CE认证标准。</w:t>
      </w:r>
    </w:p>
    <w:p w14:paraId="52C10F5F">
      <w:pPr>
        <w:pStyle w:val="4"/>
        <w:numPr>
          <w:ilvl w:val="0"/>
          <w:numId w:val="0"/>
        </w:numPr>
        <w:spacing w:line="360" w:lineRule="auto"/>
        <w:ind w:left="1626"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9、符合行业标准：YY0464—2019。</w:t>
      </w:r>
    </w:p>
    <w:p w14:paraId="67D496C8">
      <w:pPr>
        <w:spacing w:line="360" w:lineRule="auto"/>
        <w:jc w:val="left"/>
        <w:rPr>
          <w:rFonts w:ascii="仿宋_GB2312" w:hAnsi="新宋体" w:eastAsia="仿宋_GB2312" w:cs="新宋体"/>
          <w:sz w:val="24"/>
          <w:szCs w:val="24"/>
        </w:rPr>
      </w:pPr>
    </w:p>
    <w:p w14:paraId="69DFBE21">
      <w:pP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5B2274"/>
    <w:multiLevelType w:val="multilevel"/>
    <w:tmpl w:val="3C5B227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zYwMjY0MTg5YmE0MjYzNGM1YWFlYWUyNjEwM2EifQ=="/>
  </w:docVars>
  <w:rsids>
    <w:rsidRoot w:val="00000000"/>
    <w:rsid w:val="13BF65A8"/>
    <w:rsid w:val="208D2162"/>
    <w:rsid w:val="23746864"/>
    <w:rsid w:val="26DB48BA"/>
    <w:rsid w:val="3D5E790C"/>
    <w:rsid w:val="3DAD4750"/>
    <w:rsid w:val="479B406A"/>
    <w:rsid w:val="4BC44B03"/>
    <w:rsid w:val="568F071D"/>
    <w:rsid w:val="6E1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1215</Words>
  <Characters>1382</Characters>
  <Lines>0</Lines>
  <Paragraphs>0</Paragraphs>
  <TotalTime>13</TotalTime>
  <ScaleCrop>false</ScaleCrop>
  <LinksUpToDate>false</LinksUpToDate>
  <CharactersWithSpaces>1512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2025-08-21T09:10:00Z</dcterms:created>
  <dc:creator>os</dc:creator>
  <cp:lastModifiedBy>王小茜</cp:lastModifiedBy>
  <dcterms:modified xsi:type="dcterms:W3CDTF">2025-08-22T02:26:55Z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eyJoZGlkIjoiMjk5NWEzMmY4NjM5MWMyNTcyZDg5YWNmMWU4MTIyMmIiLCJ1c2VySWQiOiIzODk5NTIyODMifQ==</vt:lpwstr>
  </property>
  <property fmtid="{D5CDD505-2E9C-101B-9397-08002B2CF9AE}" pid="4" name="ICV">
    <vt:lpwstr>893A51492BCB4F3BB6EC42F126430DBC_12</vt:lpwstr>
  </property>
</Properties>
</file>