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ascii="宋体" w:hAnsi="宋体" w:eastAsia="宋体" w:cs="宋体"/>
          <w:b/>
          <w:bCs/>
          <w:sz w:val="28"/>
          <w:szCs w:val="28"/>
          <w:lang w:val="zh-CN"/>
        </w:rPr>
        <w:t>便携式多导睡眠记录仪技术参数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脑电、眼电、肌电部分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  <w:lang w:val="zh-CN"/>
        </w:rPr>
        <w:t xml:space="preserve"> 输入阻抗：不小于10M Q。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  <w:lang w:val="zh-CN"/>
        </w:rPr>
        <w:t>幅频特性：以10Hz为基准，(1～30)Hz, 最大允许误差+5%～-30%。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lang w:val="zh-CN"/>
        </w:rPr>
        <w:t>共模抑制比：各通道不小于80dB。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  <w:lang w:val="zh-CN"/>
        </w:rPr>
        <w:t>内部噪声(噪声电平):不大于3μV (峰峰值)。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ascii="宋体" w:hAnsi="宋体" w:eastAsia="宋体" w:cs="宋体"/>
          <w:sz w:val="24"/>
          <w:szCs w:val="24"/>
          <w:lang w:val="zh-CN"/>
        </w:rPr>
        <w:t>耐极化电压：加±300 mV的直流极化电压，误差不超过±5%。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ascii="宋体" w:hAnsi="宋体" w:eastAsia="宋体" w:cs="宋体"/>
          <w:sz w:val="24"/>
          <w:szCs w:val="24"/>
          <w:lang w:val="zh-CN"/>
        </w:rPr>
        <w:t>标准信号精度：标称值为100μVp-p,最大允许误差±5%。</w:t>
      </w:r>
    </w:p>
    <w:p>
      <w:pPr>
        <w:spacing w:line="360" w:lineRule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ascii="宋体" w:hAnsi="宋体" w:eastAsia="宋体" w:cs="宋体"/>
          <w:sz w:val="24"/>
          <w:szCs w:val="24"/>
          <w:lang w:val="zh-CN"/>
        </w:rPr>
        <w:t>电压测量：最大允许误差±10%。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  <w:lang w:val="zh-CN"/>
        </w:rPr>
        <w:t>心电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部分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  <w:lang w:val="zh-CN"/>
        </w:rPr>
        <w:t>输入阻抗：不小于10M Q。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  <w:lang w:val="zh-CN"/>
        </w:rPr>
        <w:t>幅频特性：以10Hz为基准，(1～30)Hz,  最大允许误差+5%～-30%。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  <w:lang w:val="zh-CN"/>
        </w:rPr>
        <w:t>共模抑制比：各通道不小于80dB。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z w:val="24"/>
          <w:szCs w:val="24"/>
          <w:lang w:val="zh-CN"/>
        </w:rPr>
        <w:t>内部噪声(噪声电平):不大于30 μV (峰峰值)。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ascii="宋体" w:hAnsi="宋体" w:eastAsia="宋体" w:cs="宋体"/>
          <w:sz w:val="24"/>
          <w:szCs w:val="24"/>
          <w:lang w:val="zh-CN"/>
        </w:rPr>
        <w:t>耐极化电压：加±300 mV 的直流极化电压，误差不超过±5%。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ascii="宋体" w:hAnsi="宋体" w:eastAsia="宋体" w:cs="宋体"/>
          <w:sz w:val="24"/>
          <w:szCs w:val="24"/>
          <w:lang w:val="zh-CN"/>
        </w:rPr>
        <w:t>标准信号精度：标称值为1mVp-p,最大允许误差±5%。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ascii="宋体" w:hAnsi="宋体" w:eastAsia="宋体" w:cs="宋体"/>
          <w:sz w:val="24"/>
          <w:szCs w:val="24"/>
          <w:lang w:val="zh-CN"/>
        </w:rPr>
        <w:t>电压测量：最大允许误差±10%。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</w:t>
      </w:r>
      <w:r>
        <w:rPr>
          <w:rFonts w:ascii="宋体" w:hAnsi="宋体" w:eastAsia="宋体" w:cs="宋体"/>
          <w:sz w:val="24"/>
          <w:szCs w:val="24"/>
          <w:lang w:val="zh-CN"/>
        </w:rPr>
        <w:t>血氧饱和度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部分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  <w:lang w:val="zh-CN"/>
        </w:rPr>
        <w:t>显示范围：0～100%;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  <w:lang w:val="zh-CN"/>
        </w:rPr>
        <w:t>测量范围与精度：70%～100%范围内，误差±2%;小于70%,无定义；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  <w:lang w:val="zh-CN"/>
        </w:rPr>
        <w:t>红光波长656.5nm～663.5nm,红外光波长875nm～895nm,最大光输出功率 红光6.5mW, 最大输出功率红外光5.0mW。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四、</w:t>
      </w:r>
      <w:r>
        <w:rPr>
          <w:rFonts w:ascii="宋体" w:hAnsi="宋体" w:eastAsia="宋体" w:cs="宋体"/>
          <w:sz w:val="24"/>
          <w:szCs w:val="24"/>
          <w:lang w:val="zh-CN"/>
        </w:rPr>
        <w:t>脉率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部分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  <w:lang w:val="zh-CN"/>
        </w:rPr>
        <w:t>显示范围：30次/分～240次/分；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  <w:lang w:val="zh-CN"/>
        </w:rPr>
        <w:t>测量精度：30次/分～100次/分范围内，误差：±1次/分；100次/分～200 次/分范围内，误差：±2次/分；200次/分～240次/分范围内，误差：±3 次/分。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五、</w:t>
      </w:r>
      <w:r>
        <w:rPr>
          <w:rFonts w:ascii="宋体" w:hAnsi="宋体" w:eastAsia="宋体" w:cs="宋体"/>
          <w:sz w:val="24"/>
          <w:szCs w:val="24"/>
          <w:lang w:val="zh-CN"/>
        </w:rPr>
        <w:t>呼吸气流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部分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  <w:lang w:val="zh-CN"/>
        </w:rPr>
        <w:t>显示范围：0-50次；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  <w:lang w:val="zh-CN"/>
        </w:rPr>
        <w:t>频率范围：10次/分～40次/分，误差≤±3次/分。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六、</w:t>
      </w:r>
      <w:r>
        <w:rPr>
          <w:rFonts w:ascii="宋体" w:hAnsi="宋体" w:eastAsia="宋体" w:cs="宋体"/>
          <w:sz w:val="24"/>
          <w:szCs w:val="24"/>
          <w:lang w:val="zh-CN"/>
        </w:rPr>
        <w:t>胸部呼吸运动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部分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  <w:lang w:val="zh-CN"/>
        </w:rPr>
        <w:t>胸部呼吸显示范围：0-50次；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  <w:lang w:val="zh-CN"/>
        </w:rPr>
        <w:t>胸腹呼吸频率范围：10次/分～40次/分，误差≤±3次/分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七、</w:t>
      </w:r>
      <w:r>
        <w:rPr>
          <w:rFonts w:ascii="宋体" w:hAnsi="宋体" w:eastAsia="宋体" w:cs="宋体"/>
          <w:sz w:val="24"/>
          <w:szCs w:val="24"/>
          <w:lang w:val="zh-CN"/>
        </w:rPr>
        <w:t>腹部呼吸运动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部分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  <w:lang w:val="zh-CN"/>
        </w:rPr>
        <w:t>腹部呼吸显示范围：0-50次；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  <w:lang w:val="zh-CN"/>
        </w:rPr>
        <w:t>腹部呼吸频率范围：10次/分～40次/分，误差≤±3次/分。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八、</w:t>
      </w:r>
      <w:r>
        <w:rPr>
          <w:rFonts w:ascii="宋体" w:hAnsi="宋体" w:eastAsia="宋体" w:cs="宋体"/>
          <w:sz w:val="24"/>
          <w:szCs w:val="24"/>
          <w:lang w:val="zh-CN"/>
        </w:rPr>
        <w:t>腿部肌电信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部分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  <w:lang w:val="zh-CN"/>
        </w:rPr>
        <w:t>输入阻抗：不小于10M Q。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  <w:lang w:val="zh-CN"/>
        </w:rPr>
        <w:t>幅频特性：以10Hz 为基准，(1～30)Hz, 最大允许误差+5%～-30%。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  <w:lang w:val="zh-CN"/>
        </w:rPr>
        <w:t>共模抑制比：各通道不小于80dB。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z w:val="24"/>
          <w:szCs w:val="24"/>
          <w:lang w:val="zh-CN"/>
        </w:rPr>
        <w:t>内部噪声(噪声电平):不大于30μV (峰峰值)。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</w:t>
      </w:r>
      <w:r>
        <w:rPr>
          <w:rFonts w:ascii="宋体" w:hAnsi="宋体" w:eastAsia="宋体" w:cs="宋体"/>
          <w:sz w:val="24"/>
          <w:szCs w:val="24"/>
          <w:lang w:val="zh-CN"/>
        </w:rPr>
        <w:t>耐极化电压：加±300 mV 的直流极化电压，误差不超过±5%。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</w:t>
      </w:r>
      <w:r>
        <w:rPr>
          <w:rFonts w:ascii="宋体" w:hAnsi="宋体" w:eastAsia="宋体" w:cs="宋体"/>
          <w:sz w:val="24"/>
          <w:szCs w:val="24"/>
          <w:lang w:val="zh-CN"/>
        </w:rPr>
        <w:t>标准信号精度：标称值为500μVp-p, 最大允许误差±5%。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7、</w:t>
      </w:r>
      <w:r>
        <w:rPr>
          <w:rFonts w:ascii="宋体" w:hAnsi="宋体" w:eastAsia="宋体" w:cs="宋体"/>
          <w:sz w:val="24"/>
          <w:szCs w:val="24"/>
          <w:lang w:val="zh-CN"/>
        </w:rPr>
        <w:t>电压测量：最大允许误差±10%。</w:t>
      </w:r>
    </w:p>
    <w:p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功能简介：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1、导联数＞28导，记录和分析符合AASM标准。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2、同时可监测、记录以下参数：脑电：＞3导、眼电：2导、下颌肌电：2导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腿部肌电：4导、心电：3导、呼吸气流：1导、胸腹运动：2导、鼾声：1导、体位：1导、体动：6导、血氧饱和度：1导、脉率：1导、环境光：1导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3、使用穿戴式信号采集装置，接触式电极设计。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4、头部脑电采集器及主机均内置存储，容量：32GB。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5、头部脑电采集器和主机内置充电电池，可连续记录2-3晚数据。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6、内置六轴运动传感器，可精确获取患者体位变化。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7、头部脑电采集器头戴一体化设计，设备无需连接软件设置患者信息，可直接启动记录。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8、主机与头部采集器无线蓝牙连接，通过主机可查看传感器连接情况，也可实时查看各导联阻抗情况，保证数据的完整性、准确性。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9、头部脑电采集器和主机可单独记录，通过蓝牙连接平板或手机APP，实时查看传感器连接状态和信号质量、电池余量等信息。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10、软件使用导航式设计，操作简单。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11、软件内置AASM分期规则，具备AI智能算法。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12、可准确识别不同睡眠分期特征波形，具备波形标记功能。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13、具备自动分析、标记睡眠相关事件的功能，同时支持手动编辑修改事件。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14、软件具备使用权限分配功能，可根据临床需求，设定不同账号的权限，保障数据的安全性。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15、具备网络化的设备管理功能，支持多台设备使用。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16、内置多导睡眠监测报告模板，模板可自定义。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17、病人数据管理功能，便于评估患者病情随时间的发展和长期治疗效果。</w:t>
      </w:r>
    </w:p>
    <w:p>
      <w:pPr>
        <w:spacing w:line="360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18、睡眠报告包括：睡眠结构、觉醒统计、血氧监测统计、血氧分布、鼾声、微醒觉、氧减和肌电睡眠事件分布、脉率统计、脉率分布、心电图总结、肢体运动总结、呼吸运动相关觉醒（REAR）事件总结、NREM期睡眠期呼吸事件与体位、REM期睡眠期呼吸事件与体位、睡眠期呼吸事件与体位、呼吸事件总结、全天睡眠总结 、平均脉率、平均心率、血氧保护度、氧减事件、微觉醒、肌紧张性活动、肌时相性活动、鼾声、睡眠分期、检测结果总结。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CHINESENUM3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CHINESENUM3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WYwYmJjZThjMDM5N2NlNzJkYjY5ODE5ZTM5ODUifQ=="/>
  </w:docVars>
  <w:rsids>
    <w:rsidRoot w:val="2E6342A7"/>
    <w:rsid w:val="176E7140"/>
    <w:rsid w:val="25D56D3A"/>
    <w:rsid w:val="25F94656"/>
    <w:rsid w:val="2E6342A7"/>
    <w:rsid w:val="4F7E072A"/>
    <w:rsid w:val="64C43AC4"/>
    <w:rsid w:val="6FC33FD3"/>
    <w:rsid w:val="7A82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1720</Words>
  <Characters>1936</Characters>
  <Lines>0</Lines>
  <Paragraphs>0</Paragraphs>
  <TotalTime>0</TotalTime>
  <ScaleCrop>false</ScaleCrop>
  <LinksUpToDate>false</LinksUpToDate>
  <CharactersWithSpaces>1961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2024-05-16T07:20:00Z</dcterms:created>
  <dc:creator>简单。</dc:creator>
  <cp:lastModifiedBy>hp</cp:lastModifiedBy>
  <dcterms:modified xsi:type="dcterms:W3CDTF">2025-06-26T07:46:32Z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94D6083579374CE9836F3318E6E2A9B8_13</vt:lpwstr>
  </property>
</Properties>
</file>