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color w:val="auto"/>
        </w:rPr>
      </w:pPr>
      <w:r>
        <w:rPr>
          <w:color w:val="auto"/>
        </w:rPr>
        <w:t xml:space="preserve"> 评标方法</w:t>
      </w:r>
    </w:p>
    <w:p>
      <w:pPr>
        <w:adjustRightInd w:val="0"/>
        <w:snapToGrid w:val="0"/>
        <w:spacing w:line="360" w:lineRule="auto"/>
        <w:ind w:right="-10" w:firstLine="422" w:firstLineChars="175"/>
        <w:rPr>
          <w:rFonts w:ascii="宋体" w:hAnsi="宋体"/>
          <w:bCs/>
          <w:color w:val="auto"/>
          <w:sz w:val="24"/>
        </w:rPr>
      </w:pPr>
      <w:r>
        <w:rPr>
          <w:rFonts w:hint="eastAsia" w:ascii="宋体" w:hAnsi="宋体"/>
          <w:b/>
          <w:bCs/>
          <w:color w:val="auto"/>
          <w:sz w:val="24"/>
        </w:rPr>
        <w:t>第一条</w:t>
      </w:r>
      <w:r>
        <w:rPr>
          <w:rFonts w:hint="eastAsia" w:ascii="宋体" w:hAnsi="宋体"/>
          <w:bCs/>
          <w:color w:val="auto"/>
          <w:sz w:val="24"/>
        </w:rPr>
        <w:t xml:space="preserve"> 为保证项目评审工作的正常有序进行，维护采购人、投标人的合法权益，本着公开、公平、公正的原则，制定评标办法。</w:t>
      </w:r>
    </w:p>
    <w:p>
      <w:pPr>
        <w:adjustRightInd w:val="0"/>
        <w:snapToGrid w:val="0"/>
        <w:spacing w:line="360" w:lineRule="auto"/>
        <w:ind w:right="-10" w:firstLine="422" w:firstLineChars="175"/>
        <w:rPr>
          <w:rFonts w:ascii="宋体" w:hAnsi="宋体"/>
          <w:bCs/>
          <w:color w:val="auto"/>
          <w:sz w:val="24"/>
        </w:rPr>
      </w:pPr>
      <w:r>
        <w:rPr>
          <w:rFonts w:hint="eastAsia" w:ascii="宋体" w:hAnsi="宋体"/>
          <w:b/>
          <w:bCs/>
          <w:color w:val="auto"/>
          <w:sz w:val="24"/>
        </w:rPr>
        <w:t>第二条</w:t>
      </w:r>
      <w:r>
        <w:rPr>
          <w:rFonts w:hint="eastAsia" w:ascii="宋体" w:hAnsi="宋体"/>
          <w:bCs/>
          <w:color w:val="auto"/>
          <w:sz w:val="24"/>
        </w:rPr>
        <w:t xml:space="preserve"> 本次项目评标采用综合评分法作为对投标人标书的比较方法。</w:t>
      </w:r>
    </w:p>
    <w:p>
      <w:pPr>
        <w:adjustRightInd w:val="0"/>
        <w:snapToGrid w:val="0"/>
        <w:spacing w:line="360" w:lineRule="auto"/>
        <w:ind w:right="-10" w:firstLine="422" w:firstLineChars="175"/>
        <w:rPr>
          <w:rFonts w:ascii="宋体" w:hAnsi="宋体"/>
          <w:bCs/>
          <w:color w:val="auto"/>
          <w:sz w:val="24"/>
        </w:rPr>
      </w:pPr>
      <w:r>
        <w:rPr>
          <w:rFonts w:hint="eastAsia" w:ascii="宋体" w:hAnsi="宋体"/>
          <w:b/>
          <w:bCs/>
          <w:color w:val="auto"/>
          <w:sz w:val="24"/>
        </w:rPr>
        <w:t>第三条</w:t>
      </w:r>
      <w:r>
        <w:rPr>
          <w:rFonts w:hint="eastAsia" w:ascii="宋体" w:hAnsi="宋体"/>
          <w:bCs/>
          <w:color w:val="auto"/>
          <w:sz w:val="24"/>
        </w:rPr>
        <w:t xml:space="preserve"> 本项目将依法组建不少于</w:t>
      </w:r>
      <w:r>
        <w:rPr>
          <w:rFonts w:hint="eastAsia" w:ascii="宋体" w:hAnsi="宋体"/>
          <w:bCs/>
          <w:color w:val="auto"/>
          <w:sz w:val="24"/>
          <w:lang w:val="en-US" w:eastAsia="zh-CN"/>
        </w:rPr>
        <w:t>3</w:t>
      </w:r>
      <w:r>
        <w:rPr>
          <w:rFonts w:hint="eastAsia" w:ascii="宋体" w:hAnsi="宋体"/>
          <w:bCs/>
          <w:color w:val="auto"/>
          <w:sz w:val="24"/>
        </w:rPr>
        <w:t>人组成的评标委员会，负责本项目的评标工作。</w:t>
      </w:r>
    </w:p>
    <w:p>
      <w:pPr>
        <w:adjustRightInd w:val="0"/>
        <w:snapToGrid w:val="0"/>
        <w:spacing w:line="360" w:lineRule="auto"/>
        <w:ind w:right="-10" w:firstLine="422" w:firstLineChars="175"/>
        <w:rPr>
          <w:rFonts w:ascii="宋体" w:hAnsi="宋体"/>
          <w:bCs/>
          <w:color w:val="auto"/>
          <w:sz w:val="24"/>
        </w:rPr>
      </w:pPr>
      <w:r>
        <w:rPr>
          <w:rFonts w:hint="eastAsia" w:ascii="宋体" w:hAnsi="宋体"/>
          <w:b/>
          <w:bCs/>
          <w:color w:val="auto"/>
          <w:sz w:val="24"/>
        </w:rPr>
        <w:t>第四条</w:t>
      </w:r>
      <w:r>
        <w:rPr>
          <w:rFonts w:hint="eastAsia" w:ascii="宋体" w:hAnsi="宋体"/>
          <w:bCs/>
          <w:color w:val="auto"/>
          <w:sz w:val="24"/>
        </w:rPr>
        <w:t xml:space="preserve"> 评标委员会按照“客观公正，实事求是”的原则，评价参加本次招标的投标人所提供的投标文件。</w:t>
      </w:r>
    </w:p>
    <w:p>
      <w:pPr>
        <w:adjustRightInd w:val="0"/>
        <w:snapToGrid w:val="0"/>
        <w:spacing w:line="360" w:lineRule="auto"/>
        <w:ind w:right="-10" w:firstLine="482" w:firstLineChars="200"/>
        <w:rPr>
          <w:rFonts w:ascii="宋体" w:hAnsi="宋体"/>
          <w:color w:val="auto"/>
          <w:sz w:val="24"/>
        </w:rPr>
      </w:pPr>
      <w:r>
        <w:rPr>
          <w:rFonts w:hint="eastAsia" w:ascii="宋体" w:hAnsi="宋体"/>
          <w:b/>
          <w:color w:val="auto"/>
          <w:sz w:val="24"/>
        </w:rPr>
        <w:t>第五条</w:t>
      </w:r>
      <w:r>
        <w:rPr>
          <w:rFonts w:hint="eastAsia" w:ascii="宋体" w:hAnsi="宋体"/>
          <w:color w:val="auto"/>
          <w:sz w:val="24"/>
        </w:rPr>
        <w:t xml:space="preserve"> 有效投标应符合以下原则：</w:t>
      </w:r>
    </w:p>
    <w:p>
      <w:pPr>
        <w:spacing w:line="360" w:lineRule="auto"/>
        <w:ind w:left="480" w:right="-10"/>
        <w:rPr>
          <w:rFonts w:ascii="宋体" w:hAnsi="宋体"/>
          <w:color w:val="auto"/>
          <w:sz w:val="24"/>
        </w:rPr>
      </w:pPr>
      <w:r>
        <w:rPr>
          <w:rFonts w:hint="eastAsia" w:ascii="宋体" w:hAnsi="宋体"/>
          <w:color w:val="auto"/>
          <w:sz w:val="24"/>
        </w:rPr>
        <w:t>（一）满足招标文件的实质性要求；</w:t>
      </w:r>
    </w:p>
    <w:p>
      <w:pPr>
        <w:spacing w:line="360" w:lineRule="auto"/>
        <w:ind w:left="480" w:right="-10"/>
        <w:rPr>
          <w:rFonts w:ascii="宋体" w:hAnsi="宋体"/>
          <w:color w:val="auto"/>
          <w:sz w:val="24"/>
        </w:rPr>
      </w:pPr>
      <w:r>
        <w:rPr>
          <w:rFonts w:hint="eastAsia" w:ascii="宋体" w:hAnsi="宋体"/>
          <w:color w:val="auto"/>
          <w:sz w:val="24"/>
        </w:rPr>
        <w:t>（二）无重大偏离、保留或采购人不能接受的附加条件；</w:t>
      </w:r>
    </w:p>
    <w:p>
      <w:pPr>
        <w:spacing w:line="360" w:lineRule="auto"/>
        <w:ind w:left="480" w:right="-10"/>
        <w:rPr>
          <w:rFonts w:ascii="宋体" w:hAnsi="宋体"/>
          <w:color w:val="auto"/>
          <w:sz w:val="24"/>
        </w:rPr>
      </w:pPr>
      <w:r>
        <w:rPr>
          <w:rFonts w:hint="eastAsia" w:ascii="宋体" w:hAnsi="宋体"/>
          <w:color w:val="auto"/>
          <w:sz w:val="24"/>
        </w:rPr>
        <w:t>（三）通过投标有效性评审；</w:t>
      </w:r>
    </w:p>
    <w:p>
      <w:pPr>
        <w:adjustRightInd w:val="0"/>
        <w:snapToGrid w:val="0"/>
        <w:spacing w:line="360" w:lineRule="auto"/>
        <w:ind w:right="-10" w:firstLine="480" w:firstLineChars="200"/>
        <w:rPr>
          <w:rFonts w:ascii="宋体" w:hAnsi="宋体"/>
          <w:color w:val="auto"/>
          <w:sz w:val="24"/>
        </w:rPr>
      </w:pPr>
      <w:r>
        <w:rPr>
          <w:rFonts w:hint="eastAsia" w:ascii="宋体" w:hAnsi="宋体"/>
          <w:color w:val="auto"/>
          <w:sz w:val="24"/>
        </w:rPr>
        <w:t>（四）评标委员会依据招标文件认定的其他原则。</w:t>
      </w:r>
    </w:p>
    <w:p>
      <w:pPr>
        <w:adjustRightInd w:val="0"/>
        <w:snapToGrid w:val="0"/>
        <w:spacing w:line="360" w:lineRule="auto"/>
        <w:ind w:right="-10" w:firstLine="482" w:firstLineChars="200"/>
        <w:rPr>
          <w:rFonts w:ascii="宋体" w:hAnsi="宋体"/>
          <w:color w:val="auto"/>
          <w:sz w:val="24"/>
        </w:rPr>
      </w:pPr>
      <w:r>
        <w:rPr>
          <w:rFonts w:hint="eastAsia" w:ascii="宋体" w:hAnsi="宋体"/>
          <w:b/>
          <w:color w:val="auto"/>
          <w:sz w:val="24"/>
        </w:rPr>
        <w:t xml:space="preserve">第六条 </w:t>
      </w:r>
      <w:r>
        <w:rPr>
          <w:rFonts w:hint="eastAsia" w:ascii="宋体" w:hAnsi="宋体"/>
          <w:color w:val="auto"/>
          <w:sz w:val="24"/>
        </w:rPr>
        <w:t>评标委员会遵循公开、公平、公正和科学诚信的原则，按照招标文件规定的评标办法对投标文件采用相同程序和标准独立进行评定。</w:t>
      </w:r>
    </w:p>
    <w:p>
      <w:pPr>
        <w:adjustRightInd w:val="0"/>
        <w:snapToGrid w:val="0"/>
        <w:spacing w:line="360" w:lineRule="auto"/>
        <w:ind w:right="-10" w:firstLine="482" w:firstLineChars="200"/>
        <w:rPr>
          <w:rFonts w:ascii="宋体" w:hAnsi="宋体"/>
          <w:color w:val="auto"/>
          <w:sz w:val="24"/>
        </w:rPr>
      </w:pPr>
      <w:r>
        <w:rPr>
          <w:rFonts w:hint="eastAsia" w:ascii="宋体" w:hAnsi="宋体"/>
          <w:b/>
          <w:color w:val="auto"/>
          <w:sz w:val="24"/>
        </w:rPr>
        <w:t xml:space="preserve">第七条 </w:t>
      </w:r>
      <w:r>
        <w:rPr>
          <w:rFonts w:hint="eastAsia" w:ascii="宋体" w:hAnsi="宋体"/>
          <w:color w:val="auto"/>
          <w:sz w:val="24"/>
        </w:rPr>
        <w:t>评审中，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对于询标后判定为不符合招标文件的投标文件，评委要提出充足的否定理由，并予以书面记录。最终对投标人的评审结论分为通过和未通过。</w:t>
      </w:r>
    </w:p>
    <w:p>
      <w:pPr>
        <w:adjustRightInd w:val="0"/>
        <w:snapToGrid w:val="0"/>
        <w:spacing w:line="360" w:lineRule="auto"/>
        <w:ind w:right="-10" w:firstLine="482" w:firstLineChars="200"/>
        <w:rPr>
          <w:rFonts w:ascii="宋体" w:hAnsi="宋体"/>
          <w:color w:val="auto"/>
          <w:sz w:val="24"/>
        </w:rPr>
      </w:pPr>
      <w:r>
        <w:rPr>
          <w:rFonts w:hint="eastAsia" w:ascii="宋体" w:hAnsi="宋体"/>
          <w:b/>
          <w:color w:val="auto"/>
          <w:sz w:val="24"/>
        </w:rPr>
        <w:t xml:space="preserve">第八条 </w:t>
      </w:r>
      <w:r>
        <w:rPr>
          <w:rFonts w:hint="eastAsia" w:ascii="宋体" w:hAnsi="宋体"/>
          <w:color w:val="auto"/>
          <w:sz w:val="24"/>
        </w:rPr>
        <w:t>评标委员会按下表内容进行投标有效性评审</w:t>
      </w:r>
    </w:p>
    <w:p>
      <w:pPr>
        <w:adjustRightInd w:val="0"/>
        <w:snapToGrid w:val="0"/>
        <w:spacing w:line="360" w:lineRule="auto"/>
        <w:ind w:left="482" w:right="-10"/>
        <w:rPr>
          <w:rFonts w:ascii="宋体" w:hAnsi="宋体"/>
          <w:b/>
          <w:color w:val="auto"/>
          <w:sz w:val="24"/>
        </w:rPr>
      </w:pPr>
      <w:r>
        <w:rPr>
          <w:rFonts w:hint="eastAsia" w:ascii="宋体" w:hAnsi="宋体"/>
          <w:b/>
          <w:color w:val="auto"/>
          <w:sz w:val="24"/>
        </w:rPr>
        <w:t>1、资格审查</w:t>
      </w:r>
    </w:p>
    <w:p>
      <w:pPr>
        <w:adjustRightInd w:val="0"/>
        <w:snapToGrid w:val="0"/>
        <w:spacing w:line="360" w:lineRule="auto"/>
        <w:ind w:right="-10" w:firstLine="480" w:firstLineChars="200"/>
        <w:rPr>
          <w:rFonts w:hint="eastAsia" w:ascii="宋体" w:hAnsi="宋体"/>
          <w:color w:val="auto"/>
          <w:sz w:val="24"/>
        </w:rPr>
      </w:pPr>
      <w:r>
        <w:rPr>
          <w:rFonts w:hint="eastAsia" w:ascii="宋体" w:hAnsi="宋体"/>
          <w:color w:val="auto"/>
          <w:sz w:val="24"/>
        </w:rPr>
        <w:t>开标结束后，评标委员会依据招标文件设定的投标人资格条件要求，对所有投标人的资格进行审查，并签字确认。</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737"/>
        <w:gridCol w:w="2505"/>
        <w:gridCol w:w="1186"/>
        <w:gridCol w:w="2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8973" w:type="dxa"/>
            <w:gridSpan w:val="5"/>
            <w:noWrap w:val="0"/>
            <w:vAlign w:val="center"/>
          </w:tcPr>
          <w:p>
            <w:pPr>
              <w:pStyle w:val="14"/>
              <w:pBdr>
                <w:bottom w:val="none" w:color="auto" w:sz="0" w:space="0"/>
              </w:pBdr>
              <w:tabs>
                <w:tab w:val="clear" w:pos="4153"/>
                <w:tab w:val="clear" w:pos="8306"/>
              </w:tabs>
              <w:snapToGrid w:val="0"/>
              <w:spacing w:line="360" w:lineRule="auto"/>
              <w:ind w:right="-10"/>
              <w:textAlignment w:val="auto"/>
              <w:rPr>
                <w:rFonts w:ascii="宋体" w:hAnsi="宋体"/>
                <w:color w:val="auto"/>
                <w:kern w:val="2"/>
                <w:szCs w:val="24"/>
              </w:rPr>
            </w:pPr>
            <w:r>
              <w:rPr>
                <w:rFonts w:hint="eastAsia" w:ascii="宋体" w:hAnsi="宋体"/>
                <w:b/>
                <w:bCs/>
                <w:color w:val="auto"/>
                <w:lang w:eastAsia="zh-CN"/>
              </w:rPr>
              <w:t>安徽省中西医结合医院（安徽中医药大学第三附属医院）采购医疗设备维修外包服务项目</w:t>
            </w:r>
            <w:r>
              <w:rPr>
                <w:rFonts w:hint="eastAsia" w:ascii="宋体" w:hAnsi="宋体"/>
                <w:b/>
                <w:color w:val="auto"/>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73" w:type="dxa"/>
            <w:gridSpan w:val="5"/>
            <w:noWrap w:val="0"/>
            <w:vAlign w:val="center"/>
          </w:tcPr>
          <w:p>
            <w:pPr>
              <w:adjustRightInd w:val="0"/>
              <w:snapToGrid w:val="0"/>
              <w:spacing w:line="360" w:lineRule="auto"/>
              <w:ind w:right="-10"/>
              <w:rPr>
                <w:rFonts w:ascii="宋体" w:hAnsi="宋体"/>
                <w:color w:val="auto"/>
                <w:sz w:val="24"/>
              </w:rPr>
            </w:pPr>
            <w:r>
              <w:rPr>
                <w:rFonts w:hint="eastAsia" w:ascii="宋体" w:hAnsi="宋体"/>
                <w:color w:val="auto"/>
                <w:sz w:val="24"/>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73" w:type="dxa"/>
            <w:gridSpan w:val="5"/>
            <w:noWrap w:val="0"/>
            <w:vAlign w:val="center"/>
          </w:tcPr>
          <w:p>
            <w:pPr>
              <w:adjustRightInd w:val="0"/>
              <w:snapToGrid w:val="0"/>
              <w:spacing w:line="360" w:lineRule="auto"/>
              <w:ind w:right="-10"/>
              <w:rPr>
                <w:rFonts w:ascii="宋体" w:hAnsi="宋体"/>
                <w:b/>
                <w:bCs/>
                <w:color w:val="auto"/>
                <w:sz w:val="24"/>
              </w:rPr>
            </w:pPr>
            <w:r>
              <w:rPr>
                <w:rFonts w:hint="eastAsia" w:ascii="宋体" w:hAnsi="宋体"/>
                <w:b/>
                <w:bCs/>
                <w:color w:val="auto"/>
                <w:sz w:val="24"/>
              </w:rPr>
              <w:t>一、初审指标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669" w:type="dxa"/>
            <w:tcBorders>
              <w:bottom w:val="single" w:color="auto" w:sz="4" w:space="0"/>
            </w:tcBorders>
            <w:noWrap w:val="0"/>
            <w:vAlign w:val="center"/>
          </w:tcPr>
          <w:p>
            <w:pPr>
              <w:adjustRightInd w:val="0"/>
              <w:snapToGrid w:val="0"/>
              <w:spacing w:line="360" w:lineRule="auto"/>
              <w:ind w:right="-10"/>
              <w:jc w:val="center"/>
              <w:rPr>
                <w:rFonts w:ascii="宋体" w:hAnsi="宋体"/>
                <w:color w:val="auto"/>
                <w:sz w:val="24"/>
              </w:rPr>
            </w:pPr>
            <w:r>
              <w:rPr>
                <w:rFonts w:hint="eastAsia" w:ascii="宋体" w:hAnsi="宋体"/>
                <w:color w:val="auto"/>
                <w:sz w:val="24"/>
              </w:rPr>
              <w:t>序号</w:t>
            </w:r>
          </w:p>
        </w:tc>
        <w:tc>
          <w:tcPr>
            <w:tcW w:w="1737" w:type="dxa"/>
            <w:tcBorders>
              <w:bottom w:val="single" w:color="auto" w:sz="4" w:space="0"/>
            </w:tcBorders>
            <w:noWrap w:val="0"/>
            <w:vAlign w:val="center"/>
          </w:tcPr>
          <w:p>
            <w:pPr>
              <w:pStyle w:val="14"/>
              <w:pBdr>
                <w:bottom w:val="none" w:color="auto" w:sz="0" w:space="0"/>
              </w:pBdr>
              <w:tabs>
                <w:tab w:val="clear" w:pos="4153"/>
                <w:tab w:val="clear" w:pos="8306"/>
              </w:tabs>
              <w:snapToGrid w:val="0"/>
              <w:spacing w:line="360" w:lineRule="auto"/>
              <w:ind w:right="-10"/>
              <w:textAlignment w:val="auto"/>
              <w:rPr>
                <w:rFonts w:ascii="宋体" w:hAnsi="宋体"/>
                <w:color w:val="auto"/>
                <w:kern w:val="2"/>
                <w:szCs w:val="24"/>
              </w:rPr>
            </w:pPr>
            <w:r>
              <w:rPr>
                <w:rFonts w:hint="eastAsia" w:ascii="宋体" w:hAnsi="宋体"/>
                <w:color w:val="auto"/>
                <w:kern w:val="2"/>
                <w:szCs w:val="24"/>
              </w:rPr>
              <w:t>指标名称</w:t>
            </w:r>
          </w:p>
        </w:tc>
        <w:tc>
          <w:tcPr>
            <w:tcW w:w="2505" w:type="dxa"/>
            <w:tcBorders>
              <w:bottom w:val="single" w:color="auto" w:sz="4" w:space="0"/>
            </w:tcBorders>
            <w:noWrap w:val="0"/>
            <w:vAlign w:val="center"/>
          </w:tcPr>
          <w:p>
            <w:pPr>
              <w:adjustRightInd w:val="0"/>
              <w:snapToGrid w:val="0"/>
              <w:spacing w:line="360" w:lineRule="auto"/>
              <w:ind w:right="-10"/>
              <w:jc w:val="center"/>
              <w:rPr>
                <w:rFonts w:ascii="宋体" w:hAnsi="宋体"/>
                <w:color w:val="auto"/>
                <w:sz w:val="24"/>
              </w:rPr>
            </w:pPr>
            <w:r>
              <w:rPr>
                <w:rFonts w:hint="eastAsia" w:ascii="宋体" w:hAnsi="宋体"/>
                <w:color w:val="auto"/>
                <w:sz w:val="24"/>
              </w:rPr>
              <w:t>指标要求</w:t>
            </w:r>
          </w:p>
        </w:tc>
        <w:tc>
          <w:tcPr>
            <w:tcW w:w="1186" w:type="dxa"/>
            <w:tcBorders>
              <w:bottom w:val="single" w:color="auto" w:sz="4" w:space="0"/>
            </w:tcBorders>
            <w:noWrap w:val="0"/>
            <w:vAlign w:val="center"/>
          </w:tcPr>
          <w:p>
            <w:pPr>
              <w:adjustRightInd w:val="0"/>
              <w:snapToGrid w:val="0"/>
              <w:spacing w:line="360" w:lineRule="auto"/>
              <w:ind w:right="-10"/>
              <w:jc w:val="center"/>
              <w:rPr>
                <w:rFonts w:ascii="宋体" w:hAnsi="宋体"/>
                <w:color w:val="auto"/>
                <w:sz w:val="24"/>
              </w:rPr>
            </w:pPr>
            <w:r>
              <w:rPr>
                <w:rFonts w:hint="eastAsia" w:ascii="宋体" w:hAnsi="宋体"/>
                <w:color w:val="auto"/>
                <w:sz w:val="24"/>
              </w:rPr>
              <w:t>是否通过</w:t>
            </w:r>
          </w:p>
        </w:tc>
        <w:tc>
          <w:tcPr>
            <w:tcW w:w="2876" w:type="dxa"/>
            <w:tcBorders>
              <w:bottom w:val="single" w:color="auto" w:sz="4" w:space="0"/>
            </w:tcBorders>
            <w:noWrap w:val="0"/>
            <w:vAlign w:val="center"/>
          </w:tcPr>
          <w:p>
            <w:pPr>
              <w:adjustRightInd w:val="0"/>
              <w:snapToGrid w:val="0"/>
              <w:spacing w:line="360" w:lineRule="auto"/>
              <w:ind w:right="-10"/>
              <w:jc w:val="center"/>
              <w:rPr>
                <w:rFonts w:ascii="宋体" w:hAnsi="宋体"/>
                <w:color w:val="auto"/>
                <w:sz w:val="24"/>
              </w:rPr>
            </w:pPr>
            <w:r>
              <w:rPr>
                <w:rFonts w:hint="eastAsia" w:ascii="宋体" w:hAnsi="宋体"/>
                <w:color w:val="auto"/>
                <w:sz w:val="24"/>
              </w:rPr>
              <w:t>投标文件格式及提交资料要求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4" w:hRule="atLeast"/>
          <w:jc w:val="center"/>
        </w:trPr>
        <w:tc>
          <w:tcPr>
            <w:tcW w:w="669" w:type="dxa"/>
            <w:noWrap w:val="0"/>
            <w:vAlign w:val="center"/>
          </w:tcPr>
          <w:p>
            <w:pPr>
              <w:adjustRightInd w:val="0"/>
              <w:snapToGrid w:val="0"/>
              <w:spacing w:line="360" w:lineRule="auto"/>
              <w:ind w:right="-10"/>
              <w:jc w:val="center"/>
              <w:rPr>
                <w:rFonts w:ascii="宋体" w:hAnsi="宋体"/>
                <w:color w:val="auto"/>
                <w:sz w:val="24"/>
              </w:rPr>
            </w:pPr>
            <w:r>
              <w:rPr>
                <w:rFonts w:hint="eastAsia" w:ascii="宋体" w:hAnsi="宋体"/>
                <w:color w:val="auto"/>
                <w:sz w:val="24"/>
              </w:rPr>
              <w:t>1</w:t>
            </w:r>
          </w:p>
        </w:tc>
        <w:tc>
          <w:tcPr>
            <w:tcW w:w="1737" w:type="dxa"/>
            <w:noWrap w:val="0"/>
            <w:vAlign w:val="center"/>
          </w:tcPr>
          <w:p>
            <w:pPr>
              <w:spacing w:after="50" w:line="360" w:lineRule="auto"/>
              <w:ind w:right="-10"/>
              <w:jc w:val="center"/>
              <w:rPr>
                <w:rFonts w:ascii="宋体" w:hAnsi="宋体"/>
                <w:color w:val="auto"/>
                <w:sz w:val="24"/>
                <w:szCs w:val="28"/>
              </w:rPr>
            </w:pPr>
            <w:r>
              <w:rPr>
                <w:rFonts w:hint="eastAsia" w:ascii="宋体" w:hAnsi="宋体"/>
                <w:color w:val="auto"/>
                <w:sz w:val="24"/>
                <w:szCs w:val="28"/>
              </w:rPr>
              <w:t>营业执照</w:t>
            </w:r>
          </w:p>
        </w:tc>
        <w:tc>
          <w:tcPr>
            <w:tcW w:w="2505" w:type="dxa"/>
            <w:noWrap w:val="0"/>
            <w:vAlign w:val="center"/>
          </w:tcPr>
          <w:p>
            <w:pPr>
              <w:spacing w:after="50" w:line="360" w:lineRule="auto"/>
              <w:ind w:right="-10"/>
              <w:jc w:val="center"/>
              <w:rPr>
                <w:rFonts w:ascii="宋体" w:hAnsi="宋体"/>
                <w:color w:val="auto"/>
                <w:sz w:val="24"/>
                <w:szCs w:val="28"/>
              </w:rPr>
            </w:pPr>
            <w:r>
              <w:rPr>
                <w:rFonts w:hint="eastAsia" w:ascii="宋体" w:hAnsi="宋体"/>
                <w:color w:val="auto"/>
                <w:sz w:val="24"/>
                <w:szCs w:val="28"/>
              </w:rPr>
              <w:t>合法有效</w:t>
            </w:r>
          </w:p>
        </w:tc>
        <w:tc>
          <w:tcPr>
            <w:tcW w:w="1186" w:type="dxa"/>
            <w:noWrap w:val="0"/>
            <w:vAlign w:val="center"/>
          </w:tcPr>
          <w:p>
            <w:pPr>
              <w:adjustRightInd w:val="0"/>
              <w:snapToGrid w:val="0"/>
              <w:spacing w:line="360" w:lineRule="auto"/>
              <w:ind w:right="-10"/>
              <w:jc w:val="center"/>
              <w:rPr>
                <w:rFonts w:ascii="宋体" w:hAnsi="宋体"/>
                <w:color w:val="auto"/>
                <w:sz w:val="24"/>
              </w:rPr>
            </w:pPr>
          </w:p>
        </w:tc>
        <w:tc>
          <w:tcPr>
            <w:tcW w:w="2876" w:type="dxa"/>
            <w:noWrap w:val="0"/>
            <w:vAlign w:val="center"/>
          </w:tcPr>
          <w:p>
            <w:pPr>
              <w:adjustRightInd w:val="0"/>
              <w:snapToGrid w:val="0"/>
              <w:spacing w:line="360" w:lineRule="auto"/>
              <w:ind w:right="-10"/>
              <w:jc w:val="center"/>
              <w:rPr>
                <w:rFonts w:ascii="宋体" w:hAnsi="宋体"/>
                <w:color w:val="auto"/>
                <w:sz w:val="24"/>
              </w:rPr>
            </w:pPr>
            <w:r>
              <w:rPr>
                <w:rFonts w:hint="eastAsia" w:ascii="宋体" w:hAnsi="宋体"/>
                <w:color w:val="auto"/>
                <w:sz w:val="24"/>
              </w:rPr>
              <w:t>提供有效的营业执照</w:t>
            </w:r>
            <w:r>
              <w:rPr>
                <w:rFonts w:hint="eastAsia" w:ascii="宋体" w:hAnsi="宋体"/>
                <w:color w:val="auto"/>
                <w:sz w:val="24"/>
                <w:lang w:val="en-US" w:eastAsia="zh-CN"/>
              </w:rPr>
              <w:t>扫描</w:t>
            </w:r>
            <w:r>
              <w:rPr>
                <w:rFonts w:hint="eastAsia" w:ascii="宋体" w:hAnsi="宋体"/>
                <w:color w:val="auto"/>
                <w:sz w:val="24"/>
              </w:rPr>
              <w:t>件，应完整的体现出营业执照的全部内容。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669" w:type="dxa"/>
            <w:noWrap w:val="0"/>
            <w:vAlign w:val="center"/>
          </w:tcPr>
          <w:p>
            <w:pPr>
              <w:adjustRightInd w:val="0"/>
              <w:snapToGrid w:val="0"/>
              <w:spacing w:line="360" w:lineRule="auto"/>
              <w:ind w:right="-10"/>
              <w:jc w:val="center"/>
              <w:rPr>
                <w:rFonts w:hint="eastAsia" w:ascii="宋体" w:hAnsi="宋体"/>
                <w:color w:val="auto"/>
                <w:sz w:val="24"/>
              </w:rPr>
            </w:pPr>
            <w:r>
              <w:rPr>
                <w:rFonts w:hint="eastAsia" w:ascii="宋体" w:hAnsi="宋体"/>
                <w:color w:val="auto"/>
                <w:sz w:val="24"/>
              </w:rPr>
              <w:t>2</w:t>
            </w:r>
          </w:p>
        </w:tc>
        <w:tc>
          <w:tcPr>
            <w:tcW w:w="1737" w:type="dxa"/>
            <w:noWrap w:val="0"/>
            <w:vAlign w:val="center"/>
          </w:tcPr>
          <w:p>
            <w:pPr>
              <w:spacing w:after="50" w:line="360" w:lineRule="auto"/>
              <w:ind w:right="-10"/>
              <w:jc w:val="center"/>
              <w:rPr>
                <w:rFonts w:ascii="宋体" w:hAnsi="宋体"/>
                <w:color w:val="auto"/>
                <w:sz w:val="24"/>
                <w:szCs w:val="28"/>
              </w:rPr>
            </w:pPr>
            <w:r>
              <w:rPr>
                <w:rFonts w:hint="eastAsia" w:ascii="宋体" w:hAnsi="宋体"/>
                <w:color w:val="auto"/>
                <w:sz w:val="24"/>
                <w:szCs w:val="28"/>
              </w:rPr>
              <w:t>投标函</w:t>
            </w:r>
          </w:p>
        </w:tc>
        <w:tc>
          <w:tcPr>
            <w:tcW w:w="2505" w:type="dxa"/>
            <w:noWrap w:val="0"/>
            <w:vAlign w:val="center"/>
          </w:tcPr>
          <w:p>
            <w:pPr>
              <w:spacing w:after="50" w:line="360" w:lineRule="auto"/>
              <w:ind w:right="-10"/>
              <w:jc w:val="center"/>
              <w:rPr>
                <w:rFonts w:ascii="宋体" w:hAnsi="宋体"/>
                <w:color w:val="auto"/>
                <w:sz w:val="24"/>
                <w:szCs w:val="28"/>
              </w:rPr>
            </w:pPr>
            <w:r>
              <w:rPr>
                <w:rFonts w:hint="eastAsia" w:ascii="宋体" w:hAnsi="宋体"/>
                <w:color w:val="auto"/>
                <w:sz w:val="24"/>
                <w:szCs w:val="28"/>
              </w:rPr>
              <w:t>符合招标文件要求</w:t>
            </w:r>
          </w:p>
        </w:tc>
        <w:tc>
          <w:tcPr>
            <w:tcW w:w="1186" w:type="dxa"/>
            <w:noWrap w:val="0"/>
            <w:vAlign w:val="center"/>
          </w:tcPr>
          <w:p>
            <w:pPr>
              <w:adjustRightInd w:val="0"/>
              <w:snapToGrid w:val="0"/>
              <w:spacing w:line="360" w:lineRule="auto"/>
              <w:ind w:right="-10"/>
              <w:jc w:val="center"/>
              <w:rPr>
                <w:rFonts w:ascii="宋体" w:hAnsi="宋体"/>
                <w:color w:val="auto"/>
                <w:sz w:val="24"/>
              </w:rPr>
            </w:pPr>
          </w:p>
        </w:tc>
        <w:tc>
          <w:tcPr>
            <w:tcW w:w="2876" w:type="dxa"/>
            <w:noWrap w:val="0"/>
            <w:vAlign w:val="center"/>
          </w:tcPr>
          <w:p>
            <w:pPr>
              <w:adjustRightInd w:val="0"/>
              <w:snapToGrid w:val="0"/>
              <w:spacing w:line="360" w:lineRule="auto"/>
              <w:ind w:right="-10"/>
              <w:jc w:val="center"/>
              <w:rPr>
                <w:rFonts w:hint="eastAsia" w:ascii="宋体" w:hAnsi="宋体"/>
                <w:color w:val="auto"/>
                <w:sz w:val="24"/>
              </w:rPr>
            </w:pPr>
            <w:r>
              <w:rPr>
                <w:rFonts w:hint="eastAsia" w:ascii="宋体" w:hAnsi="宋体"/>
                <w:color w:val="auto"/>
                <w:sz w:val="24"/>
              </w:rPr>
              <w:t>第四章投标文件格式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dxa"/>
            <w:noWrap w:val="0"/>
            <w:vAlign w:val="center"/>
          </w:tcPr>
          <w:p>
            <w:pPr>
              <w:adjustRightInd w:val="0"/>
              <w:snapToGrid w:val="0"/>
              <w:spacing w:line="360" w:lineRule="auto"/>
              <w:ind w:right="-10"/>
              <w:jc w:val="center"/>
              <w:rPr>
                <w:rFonts w:hint="eastAsia" w:ascii="宋体" w:hAnsi="宋体"/>
                <w:color w:val="auto"/>
                <w:sz w:val="24"/>
              </w:rPr>
            </w:pPr>
            <w:r>
              <w:rPr>
                <w:rFonts w:hint="eastAsia" w:ascii="宋体" w:hAnsi="宋体"/>
                <w:color w:val="auto"/>
                <w:sz w:val="24"/>
              </w:rPr>
              <w:t>3</w:t>
            </w:r>
          </w:p>
        </w:tc>
        <w:tc>
          <w:tcPr>
            <w:tcW w:w="1737" w:type="dxa"/>
            <w:noWrap w:val="0"/>
            <w:vAlign w:val="center"/>
          </w:tcPr>
          <w:p>
            <w:pPr>
              <w:spacing w:after="50" w:line="360" w:lineRule="auto"/>
              <w:ind w:right="-10"/>
              <w:jc w:val="center"/>
              <w:rPr>
                <w:rFonts w:ascii="宋体" w:hAnsi="宋体"/>
                <w:color w:val="auto"/>
                <w:sz w:val="24"/>
                <w:szCs w:val="28"/>
              </w:rPr>
            </w:pPr>
            <w:r>
              <w:rPr>
                <w:rFonts w:hint="eastAsia" w:ascii="宋体" w:hAnsi="宋体"/>
                <w:color w:val="auto"/>
                <w:sz w:val="24"/>
                <w:szCs w:val="28"/>
              </w:rPr>
              <w:t>投标授权书</w:t>
            </w:r>
          </w:p>
        </w:tc>
        <w:tc>
          <w:tcPr>
            <w:tcW w:w="2505" w:type="dxa"/>
            <w:noWrap w:val="0"/>
            <w:vAlign w:val="center"/>
          </w:tcPr>
          <w:p>
            <w:pPr>
              <w:spacing w:after="50" w:line="360" w:lineRule="auto"/>
              <w:ind w:right="-10"/>
              <w:jc w:val="center"/>
              <w:rPr>
                <w:rFonts w:ascii="宋体" w:hAnsi="宋体"/>
                <w:color w:val="auto"/>
                <w:sz w:val="24"/>
                <w:szCs w:val="28"/>
              </w:rPr>
            </w:pPr>
            <w:r>
              <w:rPr>
                <w:rFonts w:hint="eastAsia" w:ascii="宋体" w:hAnsi="宋体"/>
                <w:color w:val="auto"/>
                <w:sz w:val="24"/>
                <w:szCs w:val="28"/>
              </w:rPr>
              <w:t>原件</w:t>
            </w:r>
            <w:r>
              <w:rPr>
                <w:rFonts w:hint="eastAsia" w:ascii="宋体" w:hAnsi="宋体"/>
                <w:color w:val="auto"/>
                <w:sz w:val="24"/>
                <w:szCs w:val="28"/>
                <w:lang w:val="en-US" w:eastAsia="zh-CN"/>
              </w:rPr>
              <w:t>扫描件</w:t>
            </w:r>
            <w:r>
              <w:rPr>
                <w:rFonts w:hint="eastAsia" w:ascii="宋体" w:hAnsi="宋体"/>
                <w:color w:val="auto"/>
                <w:sz w:val="24"/>
                <w:szCs w:val="28"/>
              </w:rPr>
              <w:t>，符合招标文件要求</w:t>
            </w:r>
          </w:p>
        </w:tc>
        <w:tc>
          <w:tcPr>
            <w:tcW w:w="1186" w:type="dxa"/>
            <w:noWrap w:val="0"/>
            <w:vAlign w:val="center"/>
          </w:tcPr>
          <w:p>
            <w:pPr>
              <w:adjustRightInd w:val="0"/>
              <w:snapToGrid w:val="0"/>
              <w:spacing w:line="360" w:lineRule="auto"/>
              <w:ind w:right="-10"/>
              <w:jc w:val="center"/>
              <w:rPr>
                <w:rFonts w:ascii="宋体" w:hAnsi="宋体"/>
                <w:color w:val="auto"/>
                <w:sz w:val="24"/>
              </w:rPr>
            </w:pPr>
          </w:p>
        </w:tc>
        <w:tc>
          <w:tcPr>
            <w:tcW w:w="2876" w:type="dxa"/>
            <w:noWrap w:val="0"/>
            <w:vAlign w:val="center"/>
          </w:tcPr>
          <w:p>
            <w:pPr>
              <w:adjustRightInd w:val="0"/>
              <w:snapToGrid w:val="0"/>
              <w:spacing w:line="360" w:lineRule="auto"/>
              <w:ind w:right="-10"/>
              <w:jc w:val="center"/>
              <w:rPr>
                <w:rFonts w:ascii="宋体" w:hAnsi="宋体"/>
                <w:color w:val="auto"/>
                <w:sz w:val="24"/>
              </w:rPr>
            </w:pPr>
            <w:r>
              <w:rPr>
                <w:rFonts w:hint="eastAsia" w:ascii="宋体" w:hAnsi="宋体"/>
                <w:color w:val="auto"/>
                <w:sz w:val="24"/>
              </w:rPr>
              <w:t>法定代表人（单位负责人）参加投标的无需此件，提供身份证明</w:t>
            </w:r>
            <w:r>
              <w:rPr>
                <w:rFonts w:hint="eastAsia" w:ascii="宋体" w:hAnsi="宋体"/>
                <w:color w:val="auto"/>
                <w:sz w:val="24"/>
                <w:lang w:val="en-US" w:eastAsia="zh-CN"/>
              </w:rPr>
              <w:t>扫描</w:t>
            </w:r>
            <w:r>
              <w:rPr>
                <w:rFonts w:hint="eastAsia" w:ascii="宋体" w:hAnsi="宋体"/>
                <w:color w:val="auto"/>
                <w:sz w:val="24"/>
              </w:rPr>
              <w:t>件即可。第四章投标文件格式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dxa"/>
            <w:noWrap w:val="0"/>
            <w:vAlign w:val="center"/>
          </w:tcPr>
          <w:p>
            <w:pPr>
              <w:adjustRightInd w:val="0"/>
              <w:snapToGrid w:val="0"/>
              <w:spacing w:line="360" w:lineRule="auto"/>
              <w:ind w:right="-10"/>
              <w:jc w:val="center"/>
              <w:rPr>
                <w:rFonts w:hint="eastAsia" w:ascii="宋体" w:hAnsi="宋体"/>
                <w:color w:val="auto"/>
                <w:sz w:val="24"/>
              </w:rPr>
            </w:pPr>
            <w:r>
              <w:rPr>
                <w:rFonts w:hint="eastAsia" w:ascii="宋体" w:hAnsi="宋体"/>
                <w:color w:val="auto"/>
                <w:sz w:val="24"/>
              </w:rPr>
              <w:t>4</w:t>
            </w:r>
          </w:p>
        </w:tc>
        <w:tc>
          <w:tcPr>
            <w:tcW w:w="1737" w:type="dxa"/>
            <w:noWrap w:val="0"/>
            <w:vAlign w:val="center"/>
          </w:tcPr>
          <w:p>
            <w:pPr>
              <w:spacing w:after="50" w:line="360" w:lineRule="auto"/>
              <w:ind w:right="-10"/>
              <w:jc w:val="center"/>
              <w:rPr>
                <w:rFonts w:ascii="宋体" w:hAnsi="宋体"/>
                <w:color w:val="auto"/>
                <w:sz w:val="24"/>
                <w:szCs w:val="28"/>
              </w:rPr>
            </w:pPr>
            <w:r>
              <w:rPr>
                <w:rFonts w:hint="eastAsia" w:ascii="宋体" w:hAnsi="宋体"/>
                <w:color w:val="auto"/>
                <w:sz w:val="24"/>
                <w:szCs w:val="28"/>
              </w:rPr>
              <w:t>招标文件获取情况</w:t>
            </w:r>
          </w:p>
        </w:tc>
        <w:tc>
          <w:tcPr>
            <w:tcW w:w="2505" w:type="dxa"/>
            <w:noWrap w:val="0"/>
            <w:vAlign w:val="center"/>
          </w:tcPr>
          <w:p>
            <w:pPr>
              <w:spacing w:after="50" w:line="360" w:lineRule="auto"/>
              <w:ind w:right="-10"/>
              <w:jc w:val="center"/>
              <w:rPr>
                <w:rFonts w:ascii="宋体" w:hAnsi="宋体"/>
                <w:color w:val="auto"/>
                <w:sz w:val="24"/>
                <w:szCs w:val="28"/>
              </w:rPr>
            </w:pPr>
            <w:r>
              <w:rPr>
                <w:rFonts w:hint="eastAsia" w:ascii="宋体" w:hAnsi="宋体"/>
                <w:color w:val="auto"/>
                <w:sz w:val="24"/>
                <w:szCs w:val="28"/>
              </w:rPr>
              <w:t>未在招标文件获取截止时间前完成招标文件规定手续的，投标无效</w:t>
            </w:r>
          </w:p>
        </w:tc>
        <w:tc>
          <w:tcPr>
            <w:tcW w:w="1186" w:type="dxa"/>
            <w:noWrap w:val="0"/>
            <w:vAlign w:val="center"/>
          </w:tcPr>
          <w:p>
            <w:pPr>
              <w:adjustRightInd w:val="0"/>
              <w:snapToGrid w:val="0"/>
              <w:spacing w:line="360" w:lineRule="auto"/>
              <w:ind w:right="-10"/>
              <w:jc w:val="center"/>
              <w:rPr>
                <w:rFonts w:ascii="宋体" w:hAnsi="宋体"/>
                <w:color w:val="auto"/>
                <w:sz w:val="24"/>
              </w:rPr>
            </w:pPr>
          </w:p>
        </w:tc>
        <w:tc>
          <w:tcPr>
            <w:tcW w:w="2876" w:type="dxa"/>
            <w:noWrap w:val="0"/>
            <w:vAlign w:val="center"/>
          </w:tcPr>
          <w:p>
            <w:pPr>
              <w:adjustRightInd w:val="0"/>
              <w:snapToGrid w:val="0"/>
              <w:spacing w:line="360" w:lineRule="auto"/>
              <w:ind w:right="-1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dxa"/>
            <w:noWrap w:val="0"/>
            <w:vAlign w:val="center"/>
          </w:tcPr>
          <w:p>
            <w:pPr>
              <w:adjustRightInd w:val="0"/>
              <w:snapToGrid w:val="0"/>
              <w:spacing w:line="360" w:lineRule="auto"/>
              <w:ind w:right="-10"/>
              <w:jc w:val="center"/>
              <w:rPr>
                <w:rFonts w:hint="eastAsia" w:ascii="宋体" w:hAnsi="宋体"/>
                <w:color w:val="auto"/>
                <w:sz w:val="24"/>
              </w:rPr>
            </w:pPr>
            <w:r>
              <w:rPr>
                <w:rFonts w:hint="eastAsia" w:ascii="宋体" w:hAnsi="宋体"/>
                <w:color w:val="auto"/>
                <w:sz w:val="24"/>
              </w:rPr>
              <w:t>5</w:t>
            </w:r>
          </w:p>
        </w:tc>
        <w:tc>
          <w:tcPr>
            <w:tcW w:w="1737" w:type="dxa"/>
            <w:noWrap w:val="0"/>
            <w:vAlign w:val="center"/>
          </w:tcPr>
          <w:p>
            <w:pPr>
              <w:spacing w:after="50" w:line="360" w:lineRule="auto"/>
              <w:ind w:right="-10"/>
              <w:jc w:val="center"/>
              <w:rPr>
                <w:rFonts w:ascii="宋体" w:hAnsi="宋体"/>
                <w:color w:val="auto"/>
                <w:sz w:val="24"/>
                <w:szCs w:val="28"/>
              </w:rPr>
            </w:pPr>
            <w:r>
              <w:rPr>
                <w:rFonts w:hint="eastAsia" w:ascii="宋体" w:hAnsi="宋体"/>
                <w:color w:val="auto"/>
                <w:sz w:val="24"/>
                <w:szCs w:val="28"/>
              </w:rPr>
              <w:t>投标保证金</w:t>
            </w:r>
          </w:p>
        </w:tc>
        <w:tc>
          <w:tcPr>
            <w:tcW w:w="2505" w:type="dxa"/>
            <w:noWrap w:val="0"/>
            <w:vAlign w:val="center"/>
          </w:tcPr>
          <w:p>
            <w:pPr>
              <w:spacing w:after="50" w:line="360" w:lineRule="auto"/>
              <w:ind w:right="-10"/>
              <w:jc w:val="center"/>
              <w:rPr>
                <w:rFonts w:ascii="宋体" w:hAnsi="宋体"/>
                <w:color w:val="auto"/>
                <w:sz w:val="24"/>
                <w:szCs w:val="28"/>
              </w:rPr>
            </w:pPr>
            <w:r>
              <w:rPr>
                <w:rFonts w:hint="eastAsia" w:ascii="宋体" w:hAnsi="宋体"/>
                <w:color w:val="auto"/>
                <w:sz w:val="24"/>
                <w:szCs w:val="28"/>
              </w:rPr>
              <w:t>符合招标文件要求</w:t>
            </w:r>
          </w:p>
        </w:tc>
        <w:tc>
          <w:tcPr>
            <w:tcW w:w="1186" w:type="dxa"/>
            <w:noWrap w:val="0"/>
            <w:vAlign w:val="center"/>
          </w:tcPr>
          <w:p>
            <w:pPr>
              <w:adjustRightInd w:val="0"/>
              <w:snapToGrid w:val="0"/>
              <w:spacing w:line="360" w:lineRule="auto"/>
              <w:ind w:right="-10"/>
              <w:jc w:val="center"/>
              <w:rPr>
                <w:rFonts w:ascii="宋体" w:hAnsi="宋体"/>
                <w:color w:val="auto"/>
                <w:sz w:val="24"/>
              </w:rPr>
            </w:pPr>
          </w:p>
        </w:tc>
        <w:tc>
          <w:tcPr>
            <w:tcW w:w="2876" w:type="dxa"/>
            <w:noWrap w:val="0"/>
            <w:vAlign w:val="center"/>
          </w:tcPr>
          <w:p>
            <w:pPr>
              <w:adjustRightInd w:val="0"/>
              <w:snapToGrid w:val="0"/>
              <w:spacing w:line="360" w:lineRule="auto"/>
              <w:ind w:right="-10"/>
              <w:jc w:val="center"/>
              <w:rPr>
                <w:rFonts w:ascii="宋体" w:hAnsi="宋体"/>
                <w:color w:val="auto"/>
                <w:sz w:val="24"/>
              </w:rPr>
            </w:pPr>
            <w:r>
              <w:rPr>
                <w:rFonts w:hint="eastAsia" w:ascii="宋体" w:hAnsi="宋体"/>
                <w:color w:val="auto"/>
                <w:sz w:val="24"/>
              </w:rPr>
              <w:t>第二章投标人须知前附表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dxa"/>
            <w:noWrap w:val="0"/>
            <w:vAlign w:val="center"/>
          </w:tcPr>
          <w:p>
            <w:pPr>
              <w:adjustRightInd w:val="0"/>
              <w:snapToGrid w:val="0"/>
              <w:spacing w:line="360" w:lineRule="auto"/>
              <w:ind w:right="-10"/>
              <w:jc w:val="center"/>
              <w:rPr>
                <w:rFonts w:hint="eastAsia" w:ascii="宋体" w:hAnsi="宋体"/>
                <w:color w:val="auto"/>
                <w:sz w:val="24"/>
              </w:rPr>
            </w:pPr>
            <w:r>
              <w:rPr>
                <w:rFonts w:hint="eastAsia" w:ascii="宋体" w:hAnsi="宋体"/>
                <w:color w:val="auto"/>
                <w:sz w:val="24"/>
              </w:rPr>
              <w:t>6</w:t>
            </w:r>
          </w:p>
        </w:tc>
        <w:tc>
          <w:tcPr>
            <w:tcW w:w="1737" w:type="dxa"/>
            <w:noWrap w:val="0"/>
            <w:vAlign w:val="center"/>
          </w:tcPr>
          <w:p>
            <w:pPr>
              <w:spacing w:after="50" w:line="360" w:lineRule="auto"/>
              <w:ind w:right="-10"/>
              <w:jc w:val="center"/>
              <w:rPr>
                <w:rFonts w:ascii="宋体" w:hAnsi="宋体"/>
                <w:color w:val="auto"/>
                <w:sz w:val="24"/>
                <w:szCs w:val="28"/>
              </w:rPr>
            </w:pPr>
            <w:r>
              <w:rPr>
                <w:rFonts w:hint="eastAsia" w:ascii="宋体" w:hAnsi="宋体"/>
                <w:color w:val="auto"/>
                <w:sz w:val="24"/>
                <w:szCs w:val="28"/>
              </w:rPr>
              <w:t>投标人资质</w:t>
            </w:r>
          </w:p>
        </w:tc>
        <w:tc>
          <w:tcPr>
            <w:tcW w:w="2505" w:type="dxa"/>
            <w:noWrap w:val="0"/>
            <w:vAlign w:val="center"/>
          </w:tcPr>
          <w:p>
            <w:pPr>
              <w:spacing w:after="50" w:line="360" w:lineRule="auto"/>
              <w:ind w:right="-10"/>
              <w:jc w:val="center"/>
              <w:rPr>
                <w:rFonts w:ascii="宋体" w:hAnsi="宋体"/>
                <w:color w:val="auto"/>
                <w:sz w:val="24"/>
                <w:szCs w:val="28"/>
              </w:rPr>
            </w:pPr>
            <w:r>
              <w:rPr>
                <w:rFonts w:hint="eastAsia" w:ascii="宋体" w:hAnsi="宋体"/>
                <w:color w:val="auto"/>
                <w:sz w:val="24"/>
                <w:szCs w:val="28"/>
              </w:rPr>
              <w:t>符合招标公告要求</w:t>
            </w:r>
          </w:p>
        </w:tc>
        <w:tc>
          <w:tcPr>
            <w:tcW w:w="1186" w:type="dxa"/>
            <w:noWrap w:val="0"/>
            <w:vAlign w:val="center"/>
          </w:tcPr>
          <w:p>
            <w:pPr>
              <w:adjustRightInd w:val="0"/>
              <w:snapToGrid w:val="0"/>
              <w:spacing w:line="360" w:lineRule="auto"/>
              <w:ind w:right="-10"/>
              <w:jc w:val="center"/>
              <w:rPr>
                <w:rFonts w:ascii="宋体" w:hAnsi="宋体"/>
                <w:color w:val="auto"/>
                <w:sz w:val="24"/>
              </w:rPr>
            </w:pPr>
          </w:p>
        </w:tc>
        <w:tc>
          <w:tcPr>
            <w:tcW w:w="2876" w:type="dxa"/>
            <w:noWrap w:val="0"/>
            <w:vAlign w:val="center"/>
          </w:tcPr>
          <w:p>
            <w:pPr>
              <w:adjustRightInd w:val="0"/>
              <w:snapToGrid w:val="0"/>
              <w:spacing w:line="360" w:lineRule="auto"/>
              <w:ind w:right="-10"/>
              <w:jc w:val="center"/>
              <w:rPr>
                <w:rFonts w:ascii="宋体" w:hAnsi="宋体"/>
                <w:color w:val="auto"/>
                <w:sz w:val="24"/>
              </w:rPr>
            </w:pPr>
            <w:r>
              <w:rPr>
                <w:rFonts w:hint="eastAsia" w:ascii="宋体" w:hAnsi="宋体"/>
                <w:color w:val="auto"/>
                <w:sz w:val="24"/>
              </w:rPr>
              <w:t>提供资质证书</w:t>
            </w:r>
            <w:r>
              <w:rPr>
                <w:rFonts w:hint="eastAsia" w:ascii="宋体" w:hAnsi="宋体"/>
                <w:color w:val="auto"/>
                <w:sz w:val="24"/>
                <w:lang w:val="en-US" w:eastAsia="zh-CN"/>
              </w:rPr>
              <w:t>扫描</w:t>
            </w:r>
            <w:r>
              <w:rPr>
                <w:rFonts w:hint="eastAsia" w:ascii="宋体" w:hAnsi="宋体"/>
                <w:color w:val="auto"/>
                <w:sz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dxa"/>
            <w:noWrap w:val="0"/>
            <w:vAlign w:val="center"/>
          </w:tcPr>
          <w:p>
            <w:pPr>
              <w:adjustRightInd w:val="0"/>
              <w:snapToGrid w:val="0"/>
              <w:spacing w:line="360" w:lineRule="auto"/>
              <w:ind w:right="-10"/>
              <w:jc w:val="center"/>
              <w:rPr>
                <w:rFonts w:hint="eastAsia" w:ascii="宋体" w:hAnsi="宋体"/>
                <w:color w:val="auto"/>
                <w:sz w:val="24"/>
              </w:rPr>
            </w:pPr>
            <w:r>
              <w:rPr>
                <w:rFonts w:hint="eastAsia" w:ascii="宋体" w:hAnsi="宋体"/>
                <w:color w:val="auto"/>
                <w:sz w:val="24"/>
              </w:rPr>
              <w:t>7</w:t>
            </w:r>
          </w:p>
        </w:tc>
        <w:tc>
          <w:tcPr>
            <w:tcW w:w="1737" w:type="dxa"/>
            <w:noWrap w:val="0"/>
            <w:vAlign w:val="center"/>
          </w:tcPr>
          <w:p>
            <w:pPr>
              <w:spacing w:after="50" w:line="360" w:lineRule="auto"/>
              <w:ind w:right="-10"/>
              <w:jc w:val="center"/>
              <w:rPr>
                <w:rFonts w:ascii="宋体" w:hAnsi="宋体"/>
                <w:color w:val="auto"/>
                <w:sz w:val="24"/>
                <w:szCs w:val="28"/>
              </w:rPr>
            </w:pPr>
            <w:r>
              <w:rPr>
                <w:rFonts w:hint="eastAsia" w:ascii="宋体" w:hAnsi="宋体"/>
                <w:color w:val="auto"/>
                <w:sz w:val="24"/>
                <w:szCs w:val="28"/>
              </w:rPr>
              <w:t>标书响应情况</w:t>
            </w:r>
          </w:p>
        </w:tc>
        <w:tc>
          <w:tcPr>
            <w:tcW w:w="2505" w:type="dxa"/>
            <w:noWrap w:val="0"/>
            <w:vAlign w:val="center"/>
          </w:tcPr>
          <w:p>
            <w:pPr>
              <w:spacing w:after="50" w:line="360" w:lineRule="auto"/>
              <w:ind w:right="-10"/>
              <w:jc w:val="center"/>
              <w:rPr>
                <w:rFonts w:ascii="宋体" w:hAnsi="宋体"/>
                <w:color w:val="auto"/>
                <w:sz w:val="24"/>
                <w:szCs w:val="28"/>
              </w:rPr>
            </w:pPr>
            <w:r>
              <w:rPr>
                <w:rFonts w:hint="eastAsia" w:ascii="宋体" w:hAnsi="宋体"/>
                <w:color w:val="auto"/>
                <w:sz w:val="24"/>
                <w:szCs w:val="28"/>
              </w:rPr>
              <w:t>技术响应（无重大偏离）、付款响应、合同期限响应等。</w:t>
            </w:r>
          </w:p>
        </w:tc>
        <w:tc>
          <w:tcPr>
            <w:tcW w:w="1186" w:type="dxa"/>
            <w:noWrap w:val="0"/>
            <w:vAlign w:val="center"/>
          </w:tcPr>
          <w:p>
            <w:pPr>
              <w:adjustRightInd w:val="0"/>
              <w:snapToGrid w:val="0"/>
              <w:spacing w:line="360" w:lineRule="auto"/>
              <w:ind w:right="-10"/>
              <w:jc w:val="center"/>
              <w:rPr>
                <w:rFonts w:ascii="宋体" w:hAnsi="宋体"/>
                <w:color w:val="auto"/>
                <w:sz w:val="24"/>
              </w:rPr>
            </w:pPr>
          </w:p>
        </w:tc>
        <w:tc>
          <w:tcPr>
            <w:tcW w:w="2876" w:type="dxa"/>
            <w:noWrap w:val="0"/>
            <w:vAlign w:val="center"/>
          </w:tcPr>
          <w:p>
            <w:pPr>
              <w:adjustRightInd w:val="0"/>
              <w:snapToGrid w:val="0"/>
              <w:spacing w:line="360" w:lineRule="auto"/>
              <w:ind w:right="-1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dxa"/>
            <w:noWrap w:val="0"/>
            <w:vAlign w:val="center"/>
          </w:tcPr>
          <w:p>
            <w:pPr>
              <w:adjustRightInd w:val="0"/>
              <w:snapToGrid w:val="0"/>
              <w:spacing w:line="360" w:lineRule="auto"/>
              <w:ind w:right="-10"/>
              <w:jc w:val="center"/>
              <w:rPr>
                <w:rFonts w:hint="eastAsia" w:ascii="宋体" w:hAnsi="宋体"/>
                <w:color w:val="auto"/>
                <w:sz w:val="24"/>
              </w:rPr>
            </w:pPr>
            <w:r>
              <w:rPr>
                <w:rFonts w:hint="eastAsia" w:ascii="宋体" w:hAnsi="宋体"/>
                <w:color w:val="auto"/>
                <w:sz w:val="24"/>
              </w:rPr>
              <w:t>8</w:t>
            </w:r>
          </w:p>
        </w:tc>
        <w:tc>
          <w:tcPr>
            <w:tcW w:w="1737" w:type="dxa"/>
            <w:noWrap w:val="0"/>
            <w:vAlign w:val="center"/>
          </w:tcPr>
          <w:p>
            <w:pPr>
              <w:spacing w:after="50" w:line="360" w:lineRule="auto"/>
              <w:ind w:right="-10"/>
              <w:jc w:val="center"/>
              <w:rPr>
                <w:rFonts w:hint="eastAsia" w:ascii="宋体" w:hAnsi="宋体"/>
                <w:color w:val="auto"/>
                <w:sz w:val="24"/>
                <w:szCs w:val="28"/>
              </w:rPr>
            </w:pPr>
            <w:r>
              <w:rPr>
                <w:rFonts w:hint="eastAsia" w:ascii="宋体" w:hAnsi="宋体"/>
                <w:color w:val="auto"/>
                <w:sz w:val="24"/>
                <w:szCs w:val="28"/>
              </w:rPr>
              <w:t>硬件信息</w:t>
            </w:r>
          </w:p>
        </w:tc>
        <w:tc>
          <w:tcPr>
            <w:tcW w:w="2505" w:type="dxa"/>
            <w:noWrap w:val="0"/>
            <w:vAlign w:val="center"/>
          </w:tcPr>
          <w:p>
            <w:pPr>
              <w:spacing w:after="50" w:line="360" w:lineRule="auto"/>
              <w:ind w:right="-10"/>
              <w:jc w:val="center"/>
              <w:rPr>
                <w:rFonts w:ascii="宋体" w:hAnsi="宋体"/>
                <w:color w:val="auto"/>
                <w:sz w:val="24"/>
                <w:szCs w:val="28"/>
              </w:rPr>
            </w:pPr>
            <w:r>
              <w:rPr>
                <w:rFonts w:hint="eastAsia" w:ascii="宋体" w:hAnsi="宋体"/>
                <w:color w:val="auto"/>
                <w:sz w:val="24"/>
                <w:szCs w:val="28"/>
              </w:rPr>
              <w:t>符合第二章投标人须知前附表</w:t>
            </w:r>
          </w:p>
        </w:tc>
        <w:tc>
          <w:tcPr>
            <w:tcW w:w="1186" w:type="dxa"/>
            <w:noWrap w:val="0"/>
            <w:vAlign w:val="center"/>
          </w:tcPr>
          <w:p>
            <w:pPr>
              <w:adjustRightInd w:val="0"/>
              <w:snapToGrid w:val="0"/>
              <w:spacing w:line="360" w:lineRule="auto"/>
              <w:ind w:right="-10"/>
              <w:jc w:val="center"/>
              <w:rPr>
                <w:rFonts w:ascii="宋体" w:hAnsi="宋体"/>
                <w:color w:val="auto"/>
                <w:sz w:val="24"/>
              </w:rPr>
            </w:pPr>
          </w:p>
        </w:tc>
        <w:tc>
          <w:tcPr>
            <w:tcW w:w="2876" w:type="dxa"/>
            <w:noWrap w:val="0"/>
            <w:vAlign w:val="center"/>
          </w:tcPr>
          <w:p>
            <w:pPr>
              <w:adjustRightInd w:val="0"/>
              <w:snapToGrid w:val="0"/>
              <w:spacing w:line="360" w:lineRule="auto"/>
              <w:ind w:right="-1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dxa"/>
            <w:noWrap w:val="0"/>
            <w:vAlign w:val="center"/>
          </w:tcPr>
          <w:p>
            <w:pPr>
              <w:adjustRightInd w:val="0"/>
              <w:snapToGrid w:val="0"/>
              <w:spacing w:line="360" w:lineRule="auto"/>
              <w:ind w:right="-10"/>
              <w:jc w:val="center"/>
              <w:rPr>
                <w:rFonts w:hint="eastAsia" w:ascii="宋体" w:hAnsi="宋体"/>
                <w:color w:val="auto"/>
                <w:sz w:val="24"/>
              </w:rPr>
            </w:pPr>
            <w:r>
              <w:rPr>
                <w:rFonts w:hint="eastAsia" w:ascii="宋体" w:hAnsi="宋体"/>
                <w:color w:val="auto"/>
                <w:sz w:val="24"/>
              </w:rPr>
              <w:t>9</w:t>
            </w:r>
          </w:p>
        </w:tc>
        <w:tc>
          <w:tcPr>
            <w:tcW w:w="1737" w:type="dxa"/>
            <w:noWrap w:val="0"/>
            <w:vAlign w:val="center"/>
          </w:tcPr>
          <w:p>
            <w:pPr>
              <w:spacing w:after="50" w:line="360" w:lineRule="auto"/>
              <w:ind w:right="-10"/>
              <w:jc w:val="center"/>
              <w:rPr>
                <w:rFonts w:ascii="宋体" w:hAnsi="宋体"/>
                <w:color w:val="auto"/>
                <w:sz w:val="24"/>
                <w:szCs w:val="28"/>
              </w:rPr>
            </w:pPr>
            <w:r>
              <w:rPr>
                <w:rFonts w:hint="eastAsia" w:ascii="宋体" w:hAnsi="宋体"/>
                <w:color w:val="auto"/>
                <w:sz w:val="24"/>
                <w:szCs w:val="28"/>
              </w:rPr>
              <w:t>其他要求</w:t>
            </w:r>
          </w:p>
        </w:tc>
        <w:tc>
          <w:tcPr>
            <w:tcW w:w="2505" w:type="dxa"/>
            <w:noWrap w:val="0"/>
            <w:vAlign w:val="center"/>
          </w:tcPr>
          <w:p>
            <w:pPr>
              <w:spacing w:after="50" w:line="360" w:lineRule="auto"/>
              <w:ind w:right="-10"/>
              <w:jc w:val="center"/>
              <w:rPr>
                <w:rFonts w:ascii="宋体" w:hAnsi="宋体"/>
                <w:color w:val="auto"/>
                <w:sz w:val="24"/>
                <w:szCs w:val="28"/>
              </w:rPr>
            </w:pPr>
            <w:r>
              <w:rPr>
                <w:rFonts w:hint="eastAsia" w:ascii="宋体" w:hAnsi="宋体"/>
                <w:color w:val="auto"/>
                <w:sz w:val="24"/>
                <w:szCs w:val="28"/>
              </w:rPr>
              <w:t>招标公告或招标文件列明的其他要求</w:t>
            </w:r>
          </w:p>
        </w:tc>
        <w:tc>
          <w:tcPr>
            <w:tcW w:w="1186" w:type="dxa"/>
            <w:noWrap w:val="0"/>
            <w:vAlign w:val="center"/>
          </w:tcPr>
          <w:p>
            <w:pPr>
              <w:adjustRightInd w:val="0"/>
              <w:snapToGrid w:val="0"/>
              <w:spacing w:line="360" w:lineRule="auto"/>
              <w:ind w:right="-10"/>
              <w:jc w:val="center"/>
              <w:rPr>
                <w:rFonts w:ascii="宋体" w:hAnsi="宋体"/>
                <w:color w:val="auto"/>
                <w:sz w:val="24"/>
              </w:rPr>
            </w:pPr>
          </w:p>
        </w:tc>
        <w:tc>
          <w:tcPr>
            <w:tcW w:w="2876" w:type="dxa"/>
            <w:noWrap w:val="0"/>
            <w:vAlign w:val="center"/>
          </w:tcPr>
          <w:p>
            <w:pPr>
              <w:adjustRightInd w:val="0"/>
              <w:snapToGrid w:val="0"/>
              <w:spacing w:line="360" w:lineRule="auto"/>
              <w:ind w:right="-1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73" w:type="dxa"/>
            <w:gridSpan w:val="5"/>
            <w:noWrap w:val="0"/>
            <w:vAlign w:val="center"/>
          </w:tcPr>
          <w:p>
            <w:pPr>
              <w:adjustRightInd w:val="0"/>
              <w:snapToGrid w:val="0"/>
              <w:spacing w:line="360" w:lineRule="auto"/>
              <w:ind w:right="-10"/>
              <w:rPr>
                <w:rFonts w:ascii="宋体" w:hAnsi="宋体"/>
                <w:color w:val="auto"/>
                <w:sz w:val="24"/>
              </w:rPr>
            </w:pPr>
            <w:r>
              <w:rPr>
                <w:rFonts w:hint="eastAsia" w:ascii="宋体" w:hAnsi="宋体"/>
                <w:color w:val="auto"/>
                <w:sz w:val="24"/>
              </w:rPr>
              <w:t>初审指标通过标准：</w:t>
            </w:r>
          </w:p>
          <w:p>
            <w:pPr>
              <w:adjustRightInd w:val="0"/>
              <w:snapToGrid w:val="0"/>
              <w:spacing w:line="360" w:lineRule="auto"/>
              <w:ind w:right="-10"/>
              <w:rPr>
                <w:rFonts w:ascii="宋体" w:hAnsi="宋体"/>
                <w:color w:val="auto"/>
                <w:sz w:val="24"/>
              </w:rPr>
            </w:pPr>
            <w:r>
              <w:rPr>
                <w:rFonts w:hint="eastAsia" w:ascii="宋体" w:hAnsi="宋体"/>
                <w:color w:val="auto"/>
                <w:sz w:val="24"/>
              </w:rPr>
              <w:t>投标人必须通过上述全部指标。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73" w:type="dxa"/>
            <w:gridSpan w:val="5"/>
            <w:noWrap w:val="0"/>
            <w:vAlign w:val="top"/>
          </w:tcPr>
          <w:p>
            <w:pPr>
              <w:pStyle w:val="4"/>
              <w:spacing w:after="0" w:line="360" w:lineRule="auto"/>
              <w:ind w:left="0" w:leftChars="0"/>
              <w:rPr>
                <w:rFonts w:ascii="宋体" w:hAnsi="宋体"/>
                <w:b/>
                <w:bCs/>
                <w:color w:val="auto"/>
                <w:sz w:val="24"/>
              </w:rPr>
            </w:pPr>
            <w:r>
              <w:rPr>
                <w:rFonts w:hint="eastAsia" w:ascii="宋体" w:hAnsi="宋体"/>
                <w:b/>
                <w:bCs/>
                <w:color w:val="auto"/>
                <w:sz w:val="24"/>
              </w:rPr>
              <w:t>备注：</w:t>
            </w:r>
          </w:p>
          <w:p>
            <w:pPr>
              <w:pStyle w:val="4"/>
              <w:spacing w:after="0" w:line="360" w:lineRule="auto"/>
              <w:ind w:left="0" w:leftChars="0"/>
              <w:rPr>
                <w:rFonts w:ascii="宋体" w:hAnsi="宋体"/>
                <w:b/>
                <w:bCs/>
                <w:color w:val="auto"/>
                <w:sz w:val="24"/>
              </w:rPr>
            </w:pPr>
            <w:r>
              <w:rPr>
                <w:rFonts w:hint="eastAsia" w:ascii="宋体" w:hAnsi="宋体"/>
                <w:b/>
                <w:bCs/>
                <w:color w:val="auto"/>
                <w:sz w:val="24"/>
              </w:rPr>
              <w:t>1、无论何种原因，即使投标人开标时携带了证书材料的原件，但在投标文件中未提供与之内容完全一致的</w:t>
            </w:r>
            <w:r>
              <w:rPr>
                <w:rFonts w:hint="eastAsia" w:ascii="宋体" w:hAnsi="宋体"/>
                <w:b/>
                <w:bCs/>
                <w:color w:val="auto"/>
                <w:sz w:val="24"/>
                <w:lang w:val="en-US" w:eastAsia="zh-CN"/>
              </w:rPr>
              <w:t>扫描</w:t>
            </w:r>
            <w:r>
              <w:rPr>
                <w:rFonts w:hint="eastAsia" w:ascii="宋体" w:hAnsi="宋体"/>
                <w:b/>
                <w:bCs/>
                <w:color w:val="auto"/>
                <w:sz w:val="24"/>
              </w:rPr>
              <w:t>件的，评标委员会可以视同其未提供。</w:t>
            </w:r>
          </w:p>
          <w:p>
            <w:pPr>
              <w:pStyle w:val="4"/>
              <w:spacing w:after="0" w:line="360" w:lineRule="auto"/>
              <w:ind w:left="0" w:leftChars="0"/>
              <w:rPr>
                <w:rFonts w:ascii="宋体" w:hAnsi="宋体"/>
                <w:b/>
                <w:color w:val="auto"/>
                <w:sz w:val="24"/>
              </w:rPr>
            </w:pPr>
            <w:r>
              <w:rPr>
                <w:rFonts w:hint="eastAsia" w:ascii="宋体" w:hAnsi="宋体"/>
                <w:b/>
                <w:color w:val="auto"/>
                <w:sz w:val="24"/>
              </w:rPr>
              <w:t>2、以上证明文件均须为合法有效。如按照国家规定需要进行年审的证书，证书必须为年审合格的证书。</w:t>
            </w:r>
          </w:p>
        </w:tc>
      </w:tr>
    </w:tbl>
    <w:p>
      <w:pPr>
        <w:pStyle w:val="15"/>
        <w:rPr>
          <w:color w:val="auto"/>
        </w:rPr>
      </w:pPr>
    </w:p>
    <w:p>
      <w:pPr>
        <w:numPr>
          <w:ilvl w:val="0"/>
          <w:numId w:val="1"/>
        </w:numPr>
        <w:spacing w:before="120" w:beforeLines="50" w:line="360" w:lineRule="auto"/>
        <w:ind w:firstLine="480" w:firstLineChars="200"/>
        <w:rPr>
          <w:rFonts w:ascii="宋体" w:hAnsi="宋体"/>
          <w:color w:val="auto"/>
          <w:sz w:val="24"/>
        </w:rPr>
      </w:pPr>
      <w:r>
        <w:rPr>
          <w:rFonts w:hint="eastAsia" w:ascii="宋体" w:hAnsi="宋体"/>
          <w:color w:val="auto"/>
          <w:sz w:val="24"/>
        </w:rPr>
        <w:t>对投标文件进行详审。评标委员会只对通过初审，实质上响应招标文件要求的投标文件按照下述指标表进行详审。评分细则如下：</w:t>
      </w:r>
    </w:p>
    <w:tbl>
      <w:tblPr>
        <w:tblStyle w:val="12"/>
        <w:tblW w:w="8972"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7"/>
        <w:gridCol w:w="7036"/>
        <w:gridCol w:w="7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1177" w:type="dxa"/>
            <w:tcBorders>
              <w:top w:val="single" w:color="auto" w:sz="4" w:space="0"/>
              <w:bottom w:val="single" w:color="auto" w:sz="4" w:space="0"/>
              <w:right w:val="single" w:color="auto" w:sz="4" w:space="0"/>
            </w:tcBorders>
            <w:noWrap w:val="0"/>
            <w:vAlign w:val="center"/>
          </w:tcPr>
          <w:p>
            <w:pPr>
              <w:pStyle w:val="16"/>
              <w:widowControl/>
              <w:spacing w:line="360" w:lineRule="auto"/>
              <w:ind w:left="29"/>
              <w:jc w:val="center"/>
              <w:rPr>
                <w:b/>
                <w:color w:val="auto"/>
                <w:spacing w:val="-8"/>
                <w:sz w:val="24"/>
                <w:szCs w:val="24"/>
              </w:rPr>
            </w:pPr>
            <w:r>
              <w:rPr>
                <w:rFonts w:hint="eastAsia"/>
                <w:b/>
                <w:color w:val="auto"/>
                <w:spacing w:val="-8"/>
                <w:sz w:val="24"/>
                <w:szCs w:val="24"/>
              </w:rPr>
              <w:t>评标项目</w:t>
            </w:r>
          </w:p>
        </w:tc>
        <w:tc>
          <w:tcPr>
            <w:tcW w:w="7036" w:type="dxa"/>
            <w:tcBorders>
              <w:top w:val="single" w:color="auto" w:sz="4" w:space="0"/>
              <w:left w:val="single" w:color="auto" w:sz="4" w:space="0"/>
              <w:bottom w:val="single" w:color="auto" w:sz="4" w:space="0"/>
              <w:right w:val="single" w:color="auto" w:sz="4" w:space="0"/>
            </w:tcBorders>
            <w:noWrap w:val="0"/>
            <w:vAlign w:val="center"/>
          </w:tcPr>
          <w:p>
            <w:pPr>
              <w:pStyle w:val="16"/>
              <w:widowControl/>
              <w:spacing w:line="360" w:lineRule="auto"/>
              <w:ind w:left="29"/>
              <w:jc w:val="center"/>
              <w:rPr>
                <w:b/>
                <w:color w:val="auto"/>
                <w:spacing w:val="-8"/>
                <w:sz w:val="24"/>
                <w:szCs w:val="24"/>
              </w:rPr>
            </w:pPr>
            <w:r>
              <w:rPr>
                <w:rFonts w:hint="eastAsia"/>
                <w:b/>
                <w:color w:val="auto"/>
                <w:spacing w:val="-8"/>
                <w:sz w:val="24"/>
                <w:szCs w:val="24"/>
              </w:rPr>
              <w:t>评分要求</w:t>
            </w:r>
          </w:p>
        </w:tc>
        <w:tc>
          <w:tcPr>
            <w:tcW w:w="759" w:type="dxa"/>
            <w:tcBorders>
              <w:top w:val="single" w:color="auto" w:sz="4" w:space="0"/>
              <w:left w:val="single" w:color="auto" w:sz="4" w:space="0"/>
              <w:bottom w:val="single" w:color="auto" w:sz="4" w:space="0"/>
            </w:tcBorders>
            <w:noWrap w:val="0"/>
            <w:vAlign w:val="center"/>
          </w:tcPr>
          <w:p>
            <w:pPr>
              <w:pStyle w:val="16"/>
              <w:widowControl/>
              <w:spacing w:line="360" w:lineRule="auto"/>
              <w:ind w:left="29"/>
              <w:jc w:val="center"/>
              <w:rPr>
                <w:b/>
                <w:color w:val="auto"/>
                <w:spacing w:val="-8"/>
                <w:sz w:val="24"/>
                <w:szCs w:val="24"/>
              </w:rPr>
            </w:pPr>
            <w:r>
              <w:rPr>
                <w:rFonts w:hint="eastAsia"/>
                <w:b/>
                <w:color w:val="auto"/>
                <w:spacing w:val="-8"/>
                <w:sz w:val="24"/>
                <w:szCs w:val="24"/>
              </w:rPr>
              <w:t>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1177" w:type="dxa"/>
            <w:tcBorders>
              <w:top w:val="single" w:color="auto" w:sz="4" w:space="0"/>
              <w:right w:val="single" w:color="auto" w:sz="4" w:space="0"/>
            </w:tcBorders>
            <w:noWrap w:val="0"/>
            <w:vAlign w:val="center"/>
          </w:tcPr>
          <w:p>
            <w:pPr>
              <w:adjustRightInd w:val="0"/>
              <w:snapToGrid w:val="0"/>
              <w:spacing w:line="240" w:lineRule="auto"/>
              <w:ind w:firstLine="0"/>
              <w:jc w:val="center"/>
              <w:rPr>
                <w:rFonts w:hint="default" w:eastAsia="宋体"/>
                <w:color w:val="auto"/>
                <w:spacing w:val="-8"/>
                <w:sz w:val="24"/>
                <w:szCs w:val="24"/>
                <w:lang w:val="en-US" w:eastAsia="zh-CN"/>
              </w:rPr>
            </w:pPr>
            <w:r>
              <w:rPr>
                <w:rFonts w:hint="eastAsia" w:ascii="宋体" w:hAnsi="宋体" w:eastAsia="宋体" w:cs="宋体"/>
                <w:color w:val="auto"/>
                <w:kern w:val="0"/>
                <w:sz w:val="24"/>
                <w:szCs w:val="24"/>
              </w:rPr>
              <w:t>投标人综合实力</w:t>
            </w:r>
            <w:r>
              <w:rPr>
                <w:rFonts w:hint="eastAsia" w:ascii="宋体" w:hAnsi="宋体" w:eastAsia="宋体" w:cs="宋体"/>
                <w:color w:val="auto"/>
                <w:kern w:val="0"/>
                <w:sz w:val="24"/>
                <w:szCs w:val="24"/>
                <w:lang w:val="en-US" w:eastAsia="zh-CN"/>
              </w:rPr>
              <w:t>和信誉</w:t>
            </w:r>
          </w:p>
        </w:tc>
        <w:tc>
          <w:tcPr>
            <w:tcW w:w="70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jc w:val="left"/>
              <w:rPr>
                <w:rFonts w:ascii="宋体" w:hAnsi="宋体"/>
                <w:color w:val="auto"/>
                <w:sz w:val="24"/>
              </w:rPr>
            </w:pPr>
            <w:r>
              <w:rPr>
                <w:rFonts w:hint="eastAsia" w:ascii="宋体" w:hAnsi="宋体"/>
                <w:b w:val="0"/>
                <w:bCs w:val="0"/>
                <w:color w:val="auto"/>
                <w:sz w:val="24"/>
                <w:highlight w:val="none"/>
              </w:rPr>
              <w:t>根据</w:t>
            </w:r>
            <w:r>
              <w:rPr>
                <w:rFonts w:hint="eastAsia" w:ascii="宋体" w:hAnsi="宋体"/>
                <w:b w:val="0"/>
                <w:bCs w:val="0"/>
                <w:color w:val="auto"/>
                <w:sz w:val="24"/>
                <w:highlight w:val="none"/>
                <w:lang w:val="en-US" w:eastAsia="zh-CN"/>
              </w:rPr>
              <w:t>投标人</w:t>
            </w:r>
            <w:r>
              <w:rPr>
                <w:rFonts w:hint="eastAsia" w:ascii="宋体" w:hAnsi="宋体"/>
                <w:b w:val="0"/>
                <w:bCs w:val="0"/>
                <w:color w:val="auto"/>
                <w:sz w:val="24"/>
                <w:highlight w:val="none"/>
              </w:rPr>
              <w:t>的企业规模、知名度、获奖、各项证书、用户反馈等资料进行综合评审。</w:t>
            </w:r>
          </w:p>
        </w:tc>
        <w:tc>
          <w:tcPr>
            <w:tcW w:w="759" w:type="dxa"/>
            <w:tcBorders>
              <w:top w:val="single" w:color="auto" w:sz="4" w:space="0"/>
              <w:left w:val="single" w:color="auto" w:sz="4" w:space="0"/>
              <w:bottom w:val="single" w:color="auto" w:sz="4" w:space="0"/>
            </w:tcBorders>
            <w:noWrap w:val="0"/>
            <w:vAlign w:val="center"/>
          </w:tcPr>
          <w:p>
            <w:pPr>
              <w:pStyle w:val="16"/>
              <w:widowControl/>
              <w:spacing w:line="360" w:lineRule="auto"/>
              <w:ind w:left="29"/>
              <w:jc w:val="center"/>
              <w:rPr>
                <w:rFonts w:hint="default" w:eastAsia="宋体"/>
                <w:color w:val="auto"/>
                <w:spacing w:val="-8"/>
                <w:sz w:val="24"/>
                <w:szCs w:val="24"/>
                <w:lang w:val="en-US" w:eastAsia="zh-CN"/>
              </w:rPr>
            </w:pPr>
            <w:r>
              <w:rPr>
                <w:rFonts w:hint="eastAsia" w:eastAsia="宋体"/>
                <w:color w:val="auto"/>
                <w:spacing w:val="-8"/>
                <w:sz w:val="24"/>
                <w:szCs w:val="24"/>
                <w:lang w:val="en-US" w:eastAsia="zh-CN"/>
              </w:rPr>
              <w:t>0-10分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1177" w:type="dxa"/>
            <w:tcBorders>
              <w:top w:val="single" w:color="auto" w:sz="4" w:space="0"/>
              <w:bottom w:val="single" w:color="auto" w:sz="4" w:space="0"/>
              <w:right w:val="single" w:color="auto" w:sz="4" w:space="0"/>
            </w:tcBorders>
            <w:noWrap w:val="0"/>
            <w:vAlign w:val="center"/>
          </w:tcPr>
          <w:p>
            <w:pPr>
              <w:adjustRightInd w:val="0"/>
              <w:snapToGrid w:val="0"/>
              <w:spacing w:line="240" w:lineRule="auto"/>
              <w:ind w:firstLine="0"/>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技术参数</w:t>
            </w:r>
          </w:p>
          <w:p>
            <w:pPr>
              <w:adjustRightInd w:val="0"/>
              <w:snapToGrid w:val="0"/>
              <w:spacing w:line="240" w:lineRule="auto"/>
              <w:ind w:firstLine="0" w:firstLineChars="0"/>
              <w:jc w:val="center"/>
              <w:rPr>
                <w:rFonts w:hint="default" w:ascii="宋体" w:hAnsi="宋体" w:cs="宋体"/>
                <w:bCs/>
                <w:color w:val="auto"/>
                <w:sz w:val="24"/>
                <w:szCs w:val="24"/>
                <w:highlight w:val="none"/>
                <w:lang w:val="en-US" w:eastAsia="zh-CN"/>
              </w:rPr>
            </w:pPr>
            <w:r>
              <w:rPr>
                <w:rFonts w:hint="eastAsia" w:ascii="宋体" w:hAnsi="宋体" w:eastAsia="宋体" w:cs="宋体"/>
                <w:color w:val="auto"/>
                <w:kern w:val="0"/>
                <w:sz w:val="24"/>
                <w:szCs w:val="24"/>
              </w:rPr>
              <w:t>响应情况</w:t>
            </w:r>
          </w:p>
        </w:tc>
        <w:tc>
          <w:tcPr>
            <w:tcW w:w="70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left"/>
              <w:rPr>
                <w:rFonts w:ascii="宋体" w:hAnsi="宋体" w:eastAsia="宋体" w:cs="宋体"/>
                <w:color w:val="auto"/>
                <w:sz w:val="24"/>
                <w:szCs w:val="24"/>
                <w:highlight w:val="none"/>
              </w:rPr>
            </w:pPr>
            <w:r>
              <w:rPr>
                <w:rFonts w:hint="eastAsia" w:ascii="宋体" w:hAnsi="宋体"/>
                <w:color w:val="auto"/>
                <w:sz w:val="24"/>
              </w:rPr>
              <w:t>投标人</w:t>
            </w:r>
            <w:r>
              <w:rPr>
                <w:rFonts w:hint="eastAsia" w:ascii="宋体" w:hAnsi="宋体"/>
                <w:color w:val="auto"/>
                <w:sz w:val="24"/>
                <w:lang w:val="en-US" w:eastAsia="zh-CN"/>
              </w:rPr>
              <w:t>服务要求</w:t>
            </w:r>
            <w:r>
              <w:rPr>
                <w:rFonts w:hint="eastAsia" w:ascii="宋体" w:hAnsi="宋体"/>
                <w:color w:val="auto"/>
                <w:sz w:val="24"/>
              </w:rPr>
              <w:t>响应情况：</w:t>
            </w:r>
            <w:r>
              <w:rPr>
                <w:rFonts w:hint="eastAsia" w:ascii="宋体" w:hAnsi="宋体"/>
                <w:b/>
                <w:bCs/>
                <w:color w:val="auto"/>
                <w:sz w:val="24"/>
                <w:lang w:val="en-US" w:eastAsia="zh-CN"/>
              </w:rPr>
              <w:t>带</w:t>
            </w:r>
            <w:r>
              <w:rPr>
                <w:rFonts w:hint="eastAsia" w:ascii="宋体" w:hAnsi="宋体"/>
                <w:b/>
                <w:bCs/>
                <w:color w:val="auto"/>
                <w:sz w:val="24"/>
                <w:szCs w:val="24"/>
              </w:rPr>
              <w:t>★</w:t>
            </w:r>
            <w:r>
              <w:rPr>
                <w:rFonts w:hint="eastAsia" w:ascii="宋体" w:hAnsi="宋体"/>
                <w:b/>
                <w:bCs/>
                <w:color w:val="auto"/>
                <w:sz w:val="24"/>
                <w:szCs w:val="24"/>
                <w:lang w:val="en-US" w:eastAsia="zh-CN"/>
              </w:rPr>
              <w:t>条款</w:t>
            </w:r>
            <w:r>
              <w:rPr>
                <w:rFonts w:hint="eastAsia" w:ascii="宋体" w:hAnsi="宋体"/>
                <w:color w:val="auto"/>
                <w:sz w:val="24"/>
              </w:rPr>
              <w:t>每出现一个负偏离</w:t>
            </w:r>
            <w:r>
              <w:rPr>
                <w:rFonts w:hint="eastAsia" w:ascii="宋体" w:hAnsi="宋体"/>
                <w:color w:val="auto"/>
                <w:sz w:val="24"/>
                <w:lang w:eastAsia="zh-CN"/>
              </w:rPr>
              <w:t>，投标文件</w:t>
            </w:r>
            <w:r>
              <w:rPr>
                <w:rFonts w:hint="eastAsia" w:ascii="宋体" w:hAnsi="宋体"/>
                <w:color w:val="auto"/>
                <w:sz w:val="24"/>
                <w:lang w:val="en-US" w:eastAsia="zh-CN"/>
              </w:rPr>
              <w:t>作</w:t>
            </w:r>
            <w:r>
              <w:rPr>
                <w:rFonts w:hint="eastAsia" w:ascii="宋体" w:hAnsi="宋体"/>
                <w:b/>
                <w:bCs/>
                <w:color w:val="auto"/>
                <w:sz w:val="24"/>
                <w:lang w:eastAsia="zh-CN"/>
              </w:rPr>
              <w:t>无效</w:t>
            </w:r>
            <w:r>
              <w:rPr>
                <w:rFonts w:hint="eastAsia" w:ascii="宋体" w:hAnsi="宋体"/>
                <w:color w:val="auto"/>
                <w:sz w:val="24"/>
                <w:lang w:eastAsia="zh-CN"/>
              </w:rPr>
              <w:t>处理；</w:t>
            </w:r>
            <w:r>
              <w:rPr>
                <w:rFonts w:hint="eastAsia" w:ascii="宋体" w:hAnsi="宋体"/>
                <w:b/>
                <w:color w:val="auto"/>
                <w:sz w:val="24"/>
              </w:rPr>
              <w:t>带</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条款</w:t>
            </w:r>
            <w:r>
              <w:rPr>
                <w:rFonts w:hint="eastAsia" w:ascii="宋体" w:hAnsi="宋体"/>
                <w:color w:val="auto"/>
                <w:sz w:val="24"/>
              </w:rPr>
              <w:t>每出现一个负偏离，扣</w:t>
            </w:r>
            <w:r>
              <w:rPr>
                <w:rFonts w:hint="eastAsia" w:ascii="宋体" w:hAnsi="宋体"/>
                <w:color w:val="auto"/>
                <w:sz w:val="24"/>
                <w:lang w:val="en-US" w:eastAsia="zh-CN"/>
              </w:rPr>
              <w:t>10</w:t>
            </w:r>
            <w:r>
              <w:rPr>
                <w:rFonts w:hint="eastAsia" w:ascii="宋体" w:hAnsi="宋体"/>
                <w:color w:val="auto"/>
                <w:sz w:val="24"/>
              </w:rPr>
              <w:t>分</w:t>
            </w:r>
            <w:r>
              <w:rPr>
                <w:rFonts w:hint="eastAsia" w:ascii="宋体" w:hAnsi="宋体"/>
                <w:color w:val="auto"/>
                <w:sz w:val="24"/>
                <w:lang w:eastAsia="zh-CN"/>
              </w:rPr>
              <w:t>；</w:t>
            </w:r>
            <w:r>
              <w:rPr>
                <w:rFonts w:hint="eastAsia" w:ascii="宋体" w:hAnsi="宋体"/>
                <w:color w:val="auto"/>
                <w:sz w:val="24"/>
              </w:rPr>
              <w:t>一般</w:t>
            </w:r>
            <w:r>
              <w:rPr>
                <w:rFonts w:hint="eastAsia" w:ascii="宋体" w:hAnsi="宋体"/>
                <w:color w:val="auto"/>
                <w:sz w:val="24"/>
                <w:lang w:val="en-US" w:eastAsia="zh-CN"/>
              </w:rPr>
              <w:t>条款</w:t>
            </w:r>
            <w:r>
              <w:rPr>
                <w:rFonts w:hint="eastAsia" w:ascii="宋体" w:hAnsi="宋体"/>
                <w:color w:val="auto"/>
                <w:sz w:val="24"/>
              </w:rPr>
              <w:t>出现一个负偏离，扣</w:t>
            </w:r>
            <w:r>
              <w:rPr>
                <w:rFonts w:hint="eastAsia" w:ascii="宋体" w:hAnsi="宋体"/>
                <w:color w:val="auto"/>
                <w:sz w:val="24"/>
                <w:lang w:val="en-US" w:eastAsia="zh-CN"/>
              </w:rPr>
              <w:t>2</w:t>
            </w:r>
            <w:r>
              <w:rPr>
                <w:rFonts w:hint="eastAsia" w:ascii="宋体" w:hAnsi="宋体"/>
                <w:color w:val="auto"/>
                <w:sz w:val="24"/>
              </w:rPr>
              <w:t>分；。满分</w:t>
            </w:r>
            <w:r>
              <w:rPr>
                <w:rFonts w:hint="eastAsia" w:ascii="宋体" w:hAnsi="宋体"/>
                <w:color w:val="auto"/>
                <w:sz w:val="24"/>
                <w:lang w:val="en-US" w:eastAsia="zh-CN"/>
              </w:rPr>
              <w:t>3</w:t>
            </w:r>
            <w:r>
              <w:rPr>
                <w:rFonts w:ascii="宋体" w:hAnsi="宋体"/>
                <w:color w:val="auto"/>
                <w:sz w:val="24"/>
              </w:rPr>
              <w:t>0</w:t>
            </w:r>
            <w:r>
              <w:rPr>
                <w:rFonts w:hint="eastAsia" w:ascii="宋体" w:hAnsi="宋体"/>
                <w:color w:val="auto"/>
                <w:sz w:val="24"/>
              </w:rPr>
              <w:t>分，扣完为止。（</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和</w:t>
            </w:r>
            <w:r>
              <w:rPr>
                <w:rFonts w:hint="eastAsia" w:ascii="宋体" w:hAnsi="宋体"/>
                <w:color w:val="auto"/>
                <w:sz w:val="24"/>
              </w:rPr>
              <w:t>★号</w:t>
            </w:r>
            <w:r>
              <w:rPr>
                <w:rFonts w:hint="eastAsia" w:ascii="宋体" w:hAnsi="宋体"/>
                <w:color w:val="auto"/>
                <w:sz w:val="24"/>
                <w:lang w:val="en-US" w:eastAsia="zh-CN"/>
              </w:rPr>
              <w:t>条款</w:t>
            </w:r>
            <w:r>
              <w:rPr>
                <w:rFonts w:hint="eastAsia" w:ascii="宋体" w:hAnsi="宋体"/>
                <w:color w:val="auto"/>
                <w:sz w:val="24"/>
              </w:rPr>
              <w:t>须在投标文件中提供</w:t>
            </w:r>
            <w:r>
              <w:rPr>
                <w:rFonts w:hint="eastAsia" w:ascii="宋体" w:hAnsi="宋体"/>
                <w:color w:val="auto"/>
                <w:sz w:val="24"/>
                <w:lang w:val="en-US" w:eastAsia="zh-CN"/>
              </w:rPr>
              <w:t>技术要求中要求的</w:t>
            </w:r>
            <w:r>
              <w:rPr>
                <w:rFonts w:hint="eastAsia" w:ascii="宋体" w:hAnsi="宋体"/>
                <w:color w:val="auto"/>
                <w:sz w:val="24"/>
              </w:rPr>
              <w:t>证明材料）</w:t>
            </w:r>
            <w:r>
              <w:rPr>
                <w:rFonts w:hint="eastAsia" w:ascii="宋体" w:hAnsi="宋体"/>
                <w:color w:val="auto"/>
                <w:sz w:val="24"/>
                <w:lang w:eastAsia="zh-CN"/>
              </w:rPr>
              <w:t>。</w:t>
            </w:r>
          </w:p>
        </w:tc>
        <w:tc>
          <w:tcPr>
            <w:tcW w:w="759" w:type="dxa"/>
            <w:tcBorders>
              <w:top w:val="single" w:color="auto" w:sz="4" w:space="0"/>
              <w:left w:val="single" w:color="auto" w:sz="4" w:space="0"/>
              <w:bottom w:val="single" w:color="auto" w:sz="4" w:space="0"/>
            </w:tcBorders>
            <w:noWrap w:val="0"/>
            <w:vAlign w:val="center"/>
          </w:tcPr>
          <w:p>
            <w:pPr>
              <w:pStyle w:val="16"/>
              <w:widowControl/>
              <w:spacing w:line="360" w:lineRule="auto"/>
              <w:ind w:left="29"/>
              <w:jc w:val="center"/>
              <w:rPr>
                <w:rFonts w:hint="default"/>
                <w:color w:val="auto"/>
                <w:spacing w:val="-8"/>
                <w:sz w:val="24"/>
                <w:szCs w:val="24"/>
                <w:lang w:val="en-US" w:eastAsia="zh-CN"/>
              </w:rPr>
            </w:pPr>
            <w:r>
              <w:rPr>
                <w:rFonts w:hint="eastAsia" w:eastAsia="宋体"/>
                <w:color w:val="auto"/>
                <w:spacing w:val="-8"/>
                <w:sz w:val="24"/>
                <w:szCs w:val="24"/>
                <w:lang w:val="en-US" w:eastAsia="zh-CN"/>
              </w:rPr>
              <w:t>0-30分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1177" w:type="dxa"/>
            <w:tcBorders>
              <w:top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宋体" w:hAnsi="宋体" w:cs="宋体"/>
                <w:bCs/>
                <w:color w:val="auto"/>
                <w:sz w:val="24"/>
                <w:szCs w:val="24"/>
                <w:highlight w:val="none"/>
                <w:lang w:val="en-US" w:eastAsia="zh-CN"/>
              </w:rPr>
            </w:pPr>
            <w:r>
              <w:rPr>
                <w:rFonts w:hint="eastAsia" w:ascii="宋体" w:hAnsi="宋体" w:eastAsia="宋体" w:cs="宋体"/>
                <w:color w:val="auto"/>
                <w:kern w:val="0"/>
                <w:sz w:val="24"/>
                <w:szCs w:val="24"/>
              </w:rPr>
              <w:t>投标人业绩</w:t>
            </w:r>
          </w:p>
        </w:tc>
        <w:tc>
          <w:tcPr>
            <w:tcW w:w="70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jc w:val="left"/>
              <w:rPr>
                <w:rFonts w:hint="eastAsia" w:ascii="宋体" w:hAnsi="宋体" w:eastAsia="宋体" w:cs="宋体"/>
                <w:color w:val="auto"/>
                <w:sz w:val="24"/>
                <w:szCs w:val="24"/>
                <w:lang w:eastAsia="zh-CN"/>
              </w:rPr>
            </w:pPr>
            <w:r>
              <w:rPr>
                <w:rFonts w:ascii="宋体" w:hAnsi="宋体" w:eastAsia="宋体" w:cs="宋体"/>
                <w:color w:val="auto"/>
                <w:sz w:val="24"/>
                <w:szCs w:val="24"/>
              </w:rPr>
              <w:t>自202</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年1月1日以来（以合同签订日期为准），</w:t>
            </w:r>
            <w:r>
              <w:rPr>
                <w:rFonts w:hint="eastAsia" w:ascii="宋体" w:hAnsi="宋体" w:eastAsia="宋体" w:cs="宋体"/>
                <w:color w:val="auto"/>
                <w:sz w:val="24"/>
                <w:szCs w:val="24"/>
                <w:lang w:val="en-US" w:eastAsia="zh-CN"/>
              </w:rPr>
              <w:t>投标人</w:t>
            </w:r>
            <w:r>
              <w:rPr>
                <w:rFonts w:ascii="宋体" w:hAnsi="宋体" w:eastAsia="宋体" w:cs="宋体"/>
                <w:color w:val="auto"/>
                <w:sz w:val="24"/>
                <w:szCs w:val="24"/>
              </w:rPr>
              <w:t>具有全院整体医疗设备维保服务业绩的：</w:t>
            </w:r>
          </w:p>
          <w:p>
            <w:pPr>
              <w:adjustRightInd w:val="0"/>
              <w:snapToGrid w:val="0"/>
              <w:spacing w:line="240" w:lineRule="auto"/>
              <w:ind w:firstLine="0"/>
              <w:jc w:val="left"/>
              <w:rPr>
                <w:rFonts w:hint="eastAsia" w:ascii="宋体" w:hAnsi="宋体" w:eastAsia="宋体" w:cs="宋体"/>
                <w:color w:val="auto"/>
                <w:sz w:val="24"/>
                <w:szCs w:val="24"/>
                <w:lang w:eastAsia="zh-CN"/>
              </w:rPr>
            </w:pPr>
            <w:r>
              <w:rPr>
                <w:rFonts w:ascii="宋体" w:hAnsi="宋体" w:eastAsia="宋体" w:cs="宋体"/>
                <w:color w:val="auto"/>
                <w:sz w:val="24"/>
                <w:szCs w:val="24"/>
                <w:highlight w:val="none"/>
              </w:rPr>
              <w:t>1.三级</w:t>
            </w:r>
            <w:r>
              <w:rPr>
                <w:rFonts w:hint="eastAsia" w:ascii="宋体" w:hAnsi="宋体" w:eastAsia="宋体" w:cs="宋体"/>
                <w:color w:val="auto"/>
                <w:sz w:val="24"/>
                <w:szCs w:val="24"/>
                <w:highlight w:val="none"/>
                <w:lang w:val="en-US" w:eastAsia="zh-CN"/>
              </w:rPr>
              <w:t>及以上</w:t>
            </w:r>
            <w:r>
              <w:rPr>
                <w:rFonts w:ascii="宋体" w:hAnsi="宋体" w:eastAsia="宋体" w:cs="宋体"/>
                <w:color w:val="auto"/>
                <w:sz w:val="24"/>
                <w:szCs w:val="24"/>
                <w:highlight w:val="none"/>
              </w:rPr>
              <w:t>医院的</w:t>
            </w:r>
            <w:r>
              <w:rPr>
                <w:rFonts w:ascii="宋体" w:hAnsi="宋体" w:eastAsia="宋体" w:cs="宋体"/>
                <w:color w:val="auto"/>
                <w:sz w:val="24"/>
                <w:szCs w:val="24"/>
              </w:rPr>
              <w:t>，每提供一个业绩得3分；</w:t>
            </w:r>
          </w:p>
          <w:p>
            <w:pPr>
              <w:adjustRightInd w:val="0"/>
              <w:snapToGrid w:val="0"/>
              <w:spacing w:line="240" w:lineRule="auto"/>
              <w:ind w:firstLine="0"/>
              <w:jc w:val="left"/>
              <w:rPr>
                <w:rFonts w:ascii="宋体" w:hAnsi="宋体" w:eastAsia="宋体"/>
                <w:color w:val="auto"/>
                <w:kern w:val="0"/>
                <w:sz w:val="24"/>
                <w:szCs w:val="24"/>
              </w:rPr>
            </w:pPr>
            <w:r>
              <w:rPr>
                <w:rFonts w:ascii="宋体" w:hAnsi="宋体" w:eastAsia="宋体" w:cs="宋体"/>
                <w:color w:val="auto"/>
                <w:sz w:val="24"/>
                <w:szCs w:val="24"/>
              </w:rPr>
              <w:t>2.三级医</w:t>
            </w:r>
            <w:r>
              <w:rPr>
                <w:rFonts w:hint="eastAsia" w:ascii="宋体" w:hAnsi="宋体" w:eastAsia="宋体" w:cs="宋体"/>
                <w:color w:val="auto"/>
                <w:sz w:val="24"/>
                <w:szCs w:val="24"/>
                <w:lang w:val="en-US" w:eastAsia="zh-CN"/>
              </w:rPr>
              <w:t>以下医</w:t>
            </w:r>
            <w:r>
              <w:rPr>
                <w:rFonts w:ascii="宋体" w:hAnsi="宋体" w:eastAsia="宋体" w:cs="宋体"/>
                <w:color w:val="auto"/>
                <w:sz w:val="24"/>
                <w:szCs w:val="24"/>
              </w:rPr>
              <w:t>院的，每提供一个业绩得1.5分；</w:t>
            </w:r>
          </w:p>
          <w:p>
            <w:pPr>
              <w:adjustRightInd w:val="0"/>
              <w:snapToGrid w:val="0"/>
              <w:spacing w:line="240" w:lineRule="auto"/>
              <w:ind w:firstLine="0"/>
              <w:jc w:val="left"/>
              <w:rPr>
                <w:rFonts w:ascii="宋体" w:hAnsi="宋体" w:eastAsia="宋体"/>
                <w:b/>
                <w:color w:val="auto"/>
                <w:kern w:val="0"/>
                <w:sz w:val="24"/>
                <w:szCs w:val="24"/>
              </w:rPr>
            </w:pPr>
            <w:r>
              <w:rPr>
                <w:rFonts w:hint="eastAsia" w:ascii="宋体" w:hAnsi="宋体" w:eastAsia="宋体"/>
                <w:b/>
                <w:color w:val="auto"/>
                <w:kern w:val="0"/>
                <w:sz w:val="24"/>
                <w:szCs w:val="24"/>
              </w:rPr>
              <w:t>注：1、同一医院业绩不重复计算，提供合同扫描件并加盖投标人公章，扫描件应能辨识买卖双方公章、签订时间；</w:t>
            </w:r>
          </w:p>
          <w:p>
            <w:pPr>
              <w:adjustRightInd w:val="0"/>
              <w:snapToGrid w:val="0"/>
              <w:spacing w:line="240" w:lineRule="auto"/>
              <w:ind w:firstLine="0" w:firstLineChars="0"/>
              <w:jc w:val="left"/>
              <w:rPr>
                <w:rFonts w:ascii="宋体" w:hAnsi="宋体" w:eastAsia="宋体" w:cs="宋体"/>
                <w:color w:val="auto"/>
                <w:sz w:val="24"/>
                <w:szCs w:val="24"/>
                <w:highlight w:val="none"/>
              </w:rPr>
            </w:pPr>
            <w:r>
              <w:rPr>
                <w:rFonts w:hint="eastAsia" w:ascii="宋体" w:hAnsi="宋体" w:eastAsia="宋体"/>
                <w:b/>
                <w:color w:val="auto"/>
                <w:kern w:val="0"/>
                <w:sz w:val="24"/>
                <w:szCs w:val="24"/>
              </w:rPr>
              <w:t>2、提供服务医院的名称、医院等级、联系人、联系方式。</w:t>
            </w:r>
          </w:p>
        </w:tc>
        <w:tc>
          <w:tcPr>
            <w:tcW w:w="759" w:type="dxa"/>
            <w:tcBorders>
              <w:top w:val="single" w:color="auto" w:sz="4" w:space="0"/>
              <w:left w:val="single" w:color="auto" w:sz="4" w:space="0"/>
              <w:bottom w:val="single" w:color="auto" w:sz="4" w:space="0"/>
            </w:tcBorders>
            <w:noWrap w:val="0"/>
            <w:vAlign w:val="center"/>
          </w:tcPr>
          <w:p>
            <w:pPr>
              <w:pStyle w:val="16"/>
              <w:widowControl/>
              <w:spacing w:line="360" w:lineRule="auto"/>
              <w:ind w:left="29"/>
              <w:jc w:val="center"/>
              <w:rPr>
                <w:rFonts w:hint="default"/>
                <w:color w:val="auto"/>
                <w:spacing w:val="-8"/>
                <w:sz w:val="24"/>
                <w:szCs w:val="24"/>
                <w:lang w:val="en-US" w:eastAsia="zh-CN"/>
              </w:rPr>
            </w:pPr>
            <w:r>
              <w:rPr>
                <w:rFonts w:hint="eastAsia" w:eastAsia="宋体"/>
                <w:color w:val="auto"/>
                <w:spacing w:val="-8"/>
                <w:sz w:val="24"/>
                <w:szCs w:val="24"/>
                <w:lang w:val="en-US" w:eastAsia="zh-CN"/>
              </w:rPr>
              <w:t>0-15分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1177" w:type="dxa"/>
            <w:tcBorders>
              <w:top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宋体" w:hAnsi="宋体" w:cs="宋体"/>
                <w:bCs/>
                <w:color w:val="auto"/>
                <w:sz w:val="24"/>
                <w:szCs w:val="24"/>
                <w:highlight w:val="none"/>
                <w:lang w:val="en-US" w:eastAsia="zh-CN"/>
              </w:rPr>
            </w:pPr>
            <w:r>
              <w:rPr>
                <w:rFonts w:hint="eastAsia" w:ascii="宋体" w:hAnsi="宋体" w:eastAsia="宋体" w:cs="宋体"/>
                <w:color w:val="auto"/>
                <w:kern w:val="0"/>
                <w:sz w:val="24"/>
                <w:szCs w:val="24"/>
              </w:rPr>
              <w:t>项目实施方案</w:t>
            </w:r>
          </w:p>
        </w:tc>
        <w:tc>
          <w:tcPr>
            <w:tcW w:w="70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left"/>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提供项目实施方案</w:t>
            </w:r>
            <w:r>
              <w:rPr>
                <w:rFonts w:hint="eastAsia" w:ascii="宋体" w:hAnsi="宋体" w:eastAsia="宋体" w:cs="宋体"/>
                <w:bCs/>
                <w:color w:val="auto"/>
                <w:kern w:val="0"/>
                <w:sz w:val="24"/>
                <w:szCs w:val="24"/>
                <w:lang w:eastAsia="zh-CN"/>
              </w:rPr>
              <w:t>：</w:t>
            </w:r>
          </w:p>
          <w:p>
            <w:pPr>
              <w:adjustRightInd w:val="0"/>
              <w:snapToGrid w:val="0"/>
              <w:spacing w:line="240" w:lineRule="auto"/>
              <w:ind w:firstLine="0" w:firstLineChars="0"/>
              <w:jc w:val="left"/>
              <w:rPr>
                <w:rFonts w:hint="eastAsia" w:ascii="宋体" w:hAnsi="宋体" w:eastAsia="宋体" w:cs="宋体"/>
                <w:color w:val="auto"/>
                <w:sz w:val="24"/>
                <w:szCs w:val="24"/>
                <w:lang w:eastAsia="zh-CN"/>
              </w:rPr>
            </w:pPr>
            <w:r>
              <w:rPr>
                <w:rFonts w:ascii="宋体" w:hAnsi="宋体" w:eastAsia="宋体" w:cs="宋体"/>
                <w:color w:val="auto"/>
                <w:sz w:val="24"/>
                <w:szCs w:val="24"/>
              </w:rPr>
              <w:t>1.由评委会根据投标人拥有医疗设备维修服务的资质和能力情况按1-5分进行酌情评分，未提供相关内容的不得分；</w:t>
            </w:r>
          </w:p>
          <w:p>
            <w:pPr>
              <w:adjustRightInd w:val="0"/>
              <w:snapToGrid w:val="0"/>
              <w:spacing w:line="240" w:lineRule="auto"/>
              <w:ind w:firstLine="0" w:firstLineChars="0"/>
              <w:jc w:val="left"/>
              <w:rPr>
                <w:rFonts w:hint="eastAsia" w:ascii="宋体" w:hAnsi="宋体" w:eastAsia="宋体" w:cs="宋体"/>
                <w:color w:val="auto"/>
                <w:sz w:val="24"/>
                <w:szCs w:val="24"/>
                <w:lang w:eastAsia="zh-CN"/>
              </w:rPr>
            </w:pPr>
            <w:r>
              <w:rPr>
                <w:rFonts w:ascii="宋体" w:hAnsi="宋体" w:eastAsia="宋体" w:cs="宋体"/>
                <w:color w:val="auto"/>
                <w:sz w:val="24"/>
                <w:szCs w:val="24"/>
              </w:rPr>
              <w:t>2.由评委会根据投标人提供的免费的医疗设备管理软件的优良程度按1-5分进行综合评审，未提供不得分。</w:t>
            </w:r>
          </w:p>
          <w:p>
            <w:pPr>
              <w:adjustRightInd w:val="0"/>
              <w:snapToGrid w:val="0"/>
              <w:spacing w:line="240" w:lineRule="auto"/>
              <w:ind w:firstLine="0" w:firstLineChars="0"/>
              <w:jc w:val="left"/>
              <w:rPr>
                <w:rFonts w:hint="eastAsia" w:ascii="宋体" w:hAnsi="宋体" w:eastAsia="宋体" w:cs="宋体"/>
                <w:color w:val="auto"/>
                <w:sz w:val="24"/>
                <w:szCs w:val="24"/>
                <w:lang w:eastAsia="zh-CN"/>
              </w:rPr>
            </w:pPr>
            <w:r>
              <w:rPr>
                <w:rFonts w:ascii="宋体" w:hAnsi="宋体" w:eastAsia="宋体" w:cs="宋体"/>
                <w:color w:val="auto"/>
                <w:sz w:val="24"/>
                <w:szCs w:val="24"/>
              </w:rPr>
              <w:t>注：投标文件中可提供：</w:t>
            </w:r>
          </w:p>
          <w:p>
            <w:pPr>
              <w:adjustRightInd w:val="0"/>
              <w:snapToGrid w:val="0"/>
              <w:spacing w:line="240" w:lineRule="auto"/>
              <w:ind w:firstLine="0" w:firstLineChars="0"/>
              <w:jc w:val="left"/>
              <w:rPr>
                <w:rFonts w:hint="eastAsia" w:ascii="宋体" w:hAnsi="宋体" w:eastAsia="宋体" w:cs="宋体"/>
                <w:color w:val="auto"/>
                <w:sz w:val="24"/>
                <w:szCs w:val="24"/>
                <w:lang w:eastAsia="zh-CN"/>
              </w:rPr>
            </w:pPr>
            <w:r>
              <w:rPr>
                <w:rFonts w:ascii="宋体" w:hAnsi="宋体" w:eastAsia="宋体" w:cs="宋体"/>
                <w:color w:val="auto"/>
                <w:sz w:val="24"/>
                <w:szCs w:val="24"/>
              </w:rPr>
              <w:t>①自主知识产权证明文件的扫描件；</w:t>
            </w:r>
          </w:p>
          <w:p>
            <w:pPr>
              <w:adjustRightInd w:val="0"/>
              <w:snapToGrid w:val="0"/>
              <w:spacing w:line="240" w:lineRule="auto"/>
              <w:ind w:firstLine="0" w:firstLineChars="0"/>
              <w:jc w:val="left"/>
              <w:rPr>
                <w:rFonts w:hint="eastAsia" w:ascii="宋体" w:hAnsi="宋体" w:eastAsia="宋体" w:cs="宋体"/>
                <w:color w:val="auto"/>
                <w:sz w:val="24"/>
                <w:szCs w:val="24"/>
                <w:lang w:eastAsia="zh-CN"/>
              </w:rPr>
            </w:pPr>
            <w:r>
              <w:rPr>
                <w:rFonts w:ascii="宋体" w:hAnsi="宋体" w:eastAsia="宋体" w:cs="宋体"/>
                <w:color w:val="auto"/>
                <w:sz w:val="24"/>
                <w:szCs w:val="24"/>
              </w:rPr>
              <w:t>②其他相应的证明材料。</w:t>
            </w:r>
          </w:p>
          <w:p>
            <w:pPr>
              <w:adjustRightInd w:val="0"/>
              <w:snapToGrid w:val="0"/>
              <w:spacing w:line="240" w:lineRule="auto"/>
              <w:ind w:firstLine="0" w:firstLineChars="0"/>
              <w:jc w:val="left"/>
              <w:rPr>
                <w:rFonts w:ascii="宋体" w:hAnsi="宋体" w:eastAsia="宋体" w:cs="宋体"/>
                <w:color w:val="auto"/>
                <w:sz w:val="24"/>
                <w:szCs w:val="24"/>
                <w:highlight w:val="none"/>
              </w:rPr>
            </w:pPr>
            <w:r>
              <w:rPr>
                <w:rFonts w:ascii="宋体" w:hAnsi="宋体" w:eastAsia="宋体" w:cs="宋体"/>
                <w:color w:val="auto"/>
                <w:sz w:val="24"/>
                <w:szCs w:val="24"/>
              </w:rPr>
              <w:t>3.由评委会根据投标人针对故障的响应时间、解决故障时间及具体措施等情况按1-5分酌情评分，未提供相关内容的不得分。</w:t>
            </w:r>
          </w:p>
        </w:tc>
        <w:tc>
          <w:tcPr>
            <w:tcW w:w="759" w:type="dxa"/>
            <w:tcBorders>
              <w:top w:val="single" w:color="auto" w:sz="4" w:space="0"/>
              <w:left w:val="single" w:color="auto" w:sz="4" w:space="0"/>
              <w:bottom w:val="single" w:color="auto" w:sz="4" w:space="0"/>
            </w:tcBorders>
            <w:noWrap w:val="0"/>
            <w:vAlign w:val="center"/>
          </w:tcPr>
          <w:p>
            <w:pPr>
              <w:pStyle w:val="16"/>
              <w:widowControl/>
              <w:spacing w:line="360" w:lineRule="auto"/>
              <w:ind w:left="29"/>
              <w:jc w:val="center"/>
              <w:rPr>
                <w:rFonts w:hint="default"/>
                <w:color w:val="auto"/>
                <w:spacing w:val="-8"/>
                <w:sz w:val="24"/>
                <w:szCs w:val="24"/>
                <w:lang w:val="en-US" w:eastAsia="zh-CN"/>
              </w:rPr>
            </w:pPr>
            <w:r>
              <w:rPr>
                <w:rFonts w:hint="eastAsia" w:eastAsia="宋体"/>
                <w:color w:val="auto"/>
                <w:spacing w:val="-8"/>
                <w:sz w:val="24"/>
                <w:szCs w:val="24"/>
                <w:lang w:val="en-US" w:eastAsia="zh-CN"/>
              </w:rPr>
              <w:t>0-15分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177" w:type="dxa"/>
            <w:tcBorders>
              <w:top w:val="single" w:color="auto" w:sz="4" w:space="0"/>
              <w:bottom w:val="single" w:color="auto" w:sz="4" w:space="0"/>
              <w:right w:val="single" w:color="auto" w:sz="4" w:space="0"/>
            </w:tcBorders>
            <w:noWrap w:val="0"/>
            <w:vAlign w:val="center"/>
          </w:tcPr>
          <w:p>
            <w:pPr>
              <w:pStyle w:val="17"/>
              <w:ind w:firstLine="0" w:firstLineChars="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价格分</w:t>
            </w:r>
          </w:p>
        </w:tc>
        <w:tc>
          <w:tcPr>
            <w:tcW w:w="7036"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rPr>
                <w:rFonts w:ascii="宋体" w:hAnsi="宋体"/>
                <w:color w:val="auto"/>
                <w:sz w:val="24"/>
              </w:rPr>
            </w:pPr>
            <w:r>
              <w:rPr>
                <w:rFonts w:hint="eastAsia" w:ascii="宋体" w:hAnsi="宋体"/>
                <w:color w:val="auto"/>
                <w:sz w:val="24"/>
              </w:rPr>
              <w:t>价格分统一采用低价优先法，即满足</w:t>
            </w:r>
            <w:r>
              <w:rPr>
                <w:rFonts w:hint="eastAsia" w:ascii="宋体" w:hAnsi="宋体"/>
                <w:color w:val="auto"/>
                <w:sz w:val="24"/>
                <w:lang w:val="en-US" w:eastAsia="zh-CN"/>
              </w:rPr>
              <w:t>招标</w:t>
            </w:r>
            <w:r>
              <w:rPr>
                <w:rFonts w:hint="eastAsia" w:ascii="宋体" w:hAnsi="宋体"/>
                <w:color w:val="auto"/>
                <w:sz w:val="24"/>
                <w:lang w:eastAsia="zh-CN"/>
              </w:rPr>
              <w:t>文件</w:t>
            </w:r>
            <w:r>
              <w:rPr>
                <w:rFonts w:hint="eastAsia" w:ascii="宋体" w:hAnsi="宋体"/>
                <w:color w:val="auto"/>
                <w:sz w:val="24"/>
              </w:rPr>
              <w:t>要求且</w:t>
            </w:r>
            <w:r>
              <w:rPr>
                <w:rFonts w:hint="eastAsia" w:ascii="宋体" w:hAnsi="宋体"/>
                <w:color w:val="auto"/>
                <w:sz w:val="24"/>
                <w:lang w:val="en-US" w:eastAsia="zh-CN"/>
              </w:rPr>
              <w:t>报价</w:t>
            </w:r>
            <w:r>
              <w:rPr>
                <w:rFonts w:hint="eastAsia" w:ascii="宋体" w:hAnsi="宋体"/>
                <w:color w:val="auto"/>
                <w:sz w:val="24"/>
              </w:rPr>
              <w:t>最低的为评</w:t>
            </w:r>
            <w:r>
              <w:rPr>
                <w:rFonts w:hint="eastAsia" w:ascii="宋体" w:hAnsi="宋体"/>
                <w:color w:val="auto"/>
                <w:sz w:val="24"/>
                <w:lang w:val="en-US" w:eastAsia="zh-CN"/>
              </w:rPr>
              <w:t>审</w:t>
            </w:r>
            <w:r>
              <w:rPr>
                <w:rFonts w:hint="eastAsia" w:ascii="宋体" w:hAnsi="宋体"/>
                <w:color w:val="auto"/>
                <w:sz w:val="24"/>
              </w:rPr>
              <w:t>基准价，其价格分为满分。其他</w:t>
            </w:r>
            <w:r>
              <w:rPr>
                <w:rFonts w:hint="eastAsia" w:ascii="宋体" w:hAnsi="宋体"/>
                <w:color w:val="auto"/>
                <w:sz w:val="24"/>
                <w:lang w:val="en-US" w:eastAsia="zh-CN"/>
              </w:rPr>
              <w:t>投标人</w:t>
            </w:r>
            <w:r>
              <w:rPr>
                <w:rFonts w:hint="eastAsia" w:ascii="宋体" w:hAnsi="宋体"/>
                <w:color w:val="auto"/>
                <w:sz w:val="24"/>
              </w:rPr>
              <w:t>的价格分统一按照下列公式计算：</w:t>
            </w:r>
          </w:p>
          <w:p>
            <w:pPr>
              <w:pStyle w:val="17"/>
              <w:numPr>
                <w:ilvl w:val="0"/>
                <w:numId w:val="0"/>
              </w:numPr>
              <w:ind w:left="0" w:leftChars="0" w:firstLine="0" w:firstLineChars="0"/>
              <w:rPr>
                <w:rFonts w:hint="eastAsia" w:ascii="宋体" w:hAnsi="宋体" w:eastAsia="宋体" w:cs="Times New Roman"/>
                <w:color w:val="auto"/>
                <w:sz w:val="24"/>
                <w:highlight w:val="none"/>
                <w:shd w:val="clear" w:color="auto" w:fill="FFFFFF"/>
              </w:rPr>
            </w:pPr>
            <w:r>
              <w:rPr>
                <w:rFonts w:hint="eastAsia" w:ascii="宋体" w:hAnsi="宋体"/>
                <w:color w:val="auto"/>
                <w:sz w:val="24"/>
              </w:rPr>
              <w:t>报价得分＝（评</w:t>
            </w:r>
            <w:r>
              <w:rPr>
                <w:rFonts w:hint="eastAsia" w:ascii="宋体" w:hAnsi="宋体"/>
                <w:color w:val="auto"/>
                <w:sz w:val="24"/>
                <w:lang w:val="en-US" w:eastAsia="zh-CN"/>
              </w:rPr>
              <w:t>审</w:t>
            </w:r>
            <w:r>
              <w:rPr>
                <w:rFonts w:hint="eastAsia" w:ascii="宋体" w:hAnsi="宋体"/>
                <w:color w:val="auto"/>
                <w:sz w:val="24"/>
              </w:rPr>
              <w:t>基准价/报价）×</w:t>
            </w:r>
            <w:r>
              <w:rPr>
                <w:rFonts w:hint="eastAsia" w:ascii="宋体" w:hAnsi="宋体"/>
                <w:color w:val="auto"/>
                <w:sz w:val="24"/>
                <w:lang w:val="en-US" w:eastAsia="zh-CN"/>
              </w:rPr>
              <w:t>3</w:t>
            </w:r>
            <w:r>
              <w:rPr>
                <w:rFonts w:hint="eastAsia" w:ascii="宋体" w:hAnsi="宋体"/>
                <w:color w:val="auto"/>
                <w:sz w:val="24"/>
              </w:rPr>
              <w:t>0％×100</w:t>
            </w:r>
          </w:p>
        </w:tc>
        <w:tc>
          <w:tcPr>
            <w:tcW w:w="759" w:type="dxa"/>
            <w:tcBorders>
              <w:top w:val="single" w:color="auto" w:sz="4" w:space="0"/>
              <w:left w:val="single" w:color="auto" w:sz="4" w:space="0"/>
              <w:bottom w:val="single" w:color="auto" w:sz="4" w:space="0"/>
            </w:tcBorders>
            <w:noWrap w:val="0"/>
            <w:vAlign w:val="center"/>
          </w:tcPr>
          <w:p>
            <w:pPr>
              <w:pStyle w:val="16"/>
              <w:widowControl/>
              <w:spacing w:line="360" w:lineRule="auto"/>
              <w:ind w:left="29"/>
              <w:jc w:val="center"/>
              <w:rPr>
                <w:rFonts w:hint="default" w:eastAsia="宋体"/>
                <w:color w:val="auto"/>
                <w:spacing w:val="-8"/>
                <w:sz w:val="24"/>
                <w:szCs w:val="24"/>
                <w:lang w:val="en-US" w:eastAsia="zh-CN"/>
              </w:rPr>
            </w:pPr>
            <w:r>
              <w:rPr>
                <w:rFonts w:hint="eastAsia"/>
                <w:color w:val="auto"/>
                <w:spacing w:val="-8"/>
                <w:sz w:val="24"/>
                <w:szCs w:val="24"/>
                <w:lang w:val="en-US" w:eastAsia="zh-CN"/>
              </w:rPr>
              <w:t>30</w:t>
            </w:r>
          </w:p>
        </w:tc>
      </w:tr>
    </w:tbl>
    <w:p>
      <w:pPr>
        <w:rPr>
          <w:rFonts w:hint="eastAsia"/>
          <w:color w:val="auto"/>
        </w:rPr>
      </w:pPr>
    </w:p>
    <w:p>
      <w:pPr>
        <w:autoSpaceDE w:val="0"/>
        <w:autoSpaceDN w:val="0"/>
        <w:adjustRightInd w:val="0"/>
        <w:ind w:firstLine="480" w:firstLineChars="200"/>
        <w:rPr>
          <w:rFonts w:hint="eastAsia"/>
          <w:color w:val="auto"/>
          <w:sz w:val="24"/>
        </w:rPr>
      </w:pPr>
      <w:r>
        <w:rPr>
          <w:color w:val="auto"/>
          <w:sz w:val="24"/>
        </w:rPr>
        <w:t>注：</w:t>
      </w:r>
      <w:r>
        <w:rPr>
          <w:rFonts w:hint="eastAsia"/>
          <w:color w:val="auto"/>
          <w:sz w:val="24"/>
        </w:rPr>
        <w:t>1、</w:t>
      </w:r>
      <w:r>
        <w:rPr>
          <w:color w:val="auto"/>
          <w:sz w:val="24"/>
        </w:rPr>
        <w:t>各投标人的技术得分取所有评委评分的平均值（小数点后保留</w:t>
      </w:r>
      <w:r>
        <w:rPr>
          <w:rFonts w:hint="eastAsia"/>
          <w:color w:val="auto"/>
          <w:sz w:val="24"/>
        </w:rPr>
        <w:t>2</w:t>
      </w:r>
      <w:r>
        <w:rPr>
          <w:color w:val="auto"/>
          <w:sz w:val="24"/>
        </w:rPr>
        <w:t>位，第</w:t>
      </w:r>
      <w:r>
        <w:rPr>
          <w:rFonts w:hint="eastAsia"/>
          <w:color w:val="auto"/>
          <w:sz w:val="24"/>
        </w:rPr>
        <w:t>3</w:t>
      </w:r>
      <w:r>
        <w:rPr>
          <w:color w:val="auto"/>
          <w:sz w:val="24"/>
        </w:rPr>
        <w:t>位四舍五入）。</w:t>
      </w:r>
    </w:p>
    <w:p>
      <w:pPr>
        <w:autoSpaceDE w:val="0"/>
        <w:autoSpaceDN w:val="0"/>
        <w:adjustRightInd w:val="0"/>
        <w:ind w:firstLine="480" w:firstLineChars="200"/>
        <w:rPr>
          <w:rFonts w:hint="eastAsia" w:ascii="宋体" w:hAnsi="宋体"/>
          <w:bCs/>
          <w:color w:val="auto"/>
          <w:sz w:val="24"/>
          <w:szCs w:val="22"/>
        </w:rPr>
      </w:pPr>
      <w:r>
        <w:rPr>
          <w:rFonts w:hint="eastAsia" w:ascii="宋体" w:hAnsi="宋体"/>
          <w:bCs/>
          <w:color w:val="auto"/>
          <w:sz w:val="24"/>
          <w:szCs w:val="22"/>
        </w:rPr>
        <w:t>2、上述所有评审指标中涉及到相关证明材料均须在技术标中提供，未在技术标中提供的评委会可不予认可。</w:t>
      </w:r>
    </w:p>
    <w:p>
      <w:pPr>
        <w:autoSpaceDE w:val="0"/>
        <w:autoSpaceDN w:val="0"/>
        <w:adjustRightInd w:val="0"/>
        <w:ind w:firstLine="480" w:firstLineChars="200"/>
        <w:rPr>
          <w:rFonts w:hint="eastAsia" w:ascii="宋体" w:hAnsi="宋体"/>
          <w:color w:val="auto"/>
          <w:sz w:val="24"/>
          <w:szCs w:val="22"/>
        </w:rPr>
      </w:pPr>
      <w:r>
        <w:rPr>
          <w:rFonts w:hint="eastAsia" w:ascii="宋体" w:hAnsi="宋体"/>
          <w:bCs/>
          <w:color w:val="auto"/>
          <w:sz w:val="24"/>
          <w:szCs w:val="22"/>
        </w:rPr>
        <w:t>3、“</w:t>
      </w:r>
      <w:r>
        <w:rPr>
          <w:rFonts w:hint="eastAsia" w:ascii="宋体" w:hAnsi="宋体"/>
          <w:bCs/>
          <w:color w:val="auto"/>
          <w:sz w:val="24"/>
          <w:szCs w:val="22"/>
          <w:lang w:eastAsia="zh-CN"/>
        </w:rPr>
        <w:t>▲</w:t>
      </w:r>
      <w:r>
        <w:rPr>
          <w:rFonts w:hint="eastAsia" w:ascii="宋体" w:hAnsi="宋体"/>
          <w:bCs/>
          <w:color w:val="auto"/>
          <w:sz w:val="24"/>
          <w:szCs w:val="22"/>
        </w:rPr>
        <w:t>”或“</w:t>
      </w:r>
      <w:r>
        <w:rPr>
          <w:rFonts w:hint="eastAsia" w:ascii="宋体" w:hAnsi="宋体"/>
          <w:color w:val="auto"/>
          <w:sz w:val="24"/>
          <w:szCs w:val="22"/>
        </w:rPr>
        <w:t>★”号参数须提供的相关技术支持证明材料是指以下条款至少一项：</w:t>
      </w:r>
    </w:p>
    <w:p>
      <w:pPr>
        <w:autoSpaceDE w:val="0"/>
        <w:autoSpaceDN w:val="0"/>
        <w:adjustRightInd w:val="0"/>
        <w:ind w:firstLine="480" w:firstLineChars="200"/>
        <w:rPr>
          <w:rFonts w:hint="eastAsia" w:ascii="宋体" w:hAnsi="宋体"/>
          <w:color w:val="auto"/>
          <w:sz w:val="24"/>
          <w:szCs w:val="22"/>
        </w:rPr>
      </w:pPr>
      <w:r>
        <w:rPr>
          <w:rFonts w:hint="eastAsia" w:ascii="宋体" w:hAnsi="宋体"/>
          <w:color w:val="auto"/>
          <w:sz w:val="24"/>
          <w:szCs w:val="22"/>
        </w:rPr>
        <w:t>（1）医疗器械产品注册登记表附件中的“产品标准：YZB————”；</w:t>
      </w:r>
    </w:p>
    <w:p>
      <w:pPr>
        <w:autoSpaceDE w:val="0"/>
        <w:autoSpaceDN w:val="0"/>
        <w:adjustRightInd w:val="0"/>
        <w:ind w:firstLine="480" w:firstLineChars="200"/>
        <w:rPr>
          <w:rFonts w:hint="eastAsia" w:ascii="宋体" w:hAnsi="宋体" w:eastAsia="宋体"/>
          <w:color w:val="auto"/>
          <w:sz w:val="24"/>
          <w:szCs w:val="22"/>
          <w:lang w:eastAsia="zh-CN"/>
        </w:rPr>
      </w:pPr>
      <w:r>
        <w:rPr>
          <w:rFonts w:hint="eastAsia" w:ascii="宋体" w:hAnsi="宋体"/>
          <w:color w:val="auto"/>
          <w:sz w:val="24"/>
          <w:szCs w:val="22"/>
        </w:rPr>
        <w:t>（2）技术白皮书（Data Sheet</w:t>
      </w:r>
      <w:r>
        <w:rPr>
          <w:rFonts w:ascii="宋体" w:hAnsi="宋体"/>
          <w:color w:val="auto"/>
          <w:sz w:val="24"/>
          <w:szCs w:val="22"/>
        </w:rPr>
        <w:t>）</w:t>
      </w:r>
      <w:r>
        <w:rPr>
          <w:rFonts w:hint="eastAsia" w:ascii="宋体" w:hAnsi="宋体"/>
          <w:color w:val="auto"/>
          <w:sz w:val="24"/>
          <w:szCs w:val="22"/>
          <w:lang w:eastAsia="zh-CN"/>
        </w:rPr>
        <w:t>；</w:t>
      </w:r>
    </w:p>
    <w:p>
      <w:pPr>
        <w:autoSpaceDE w:val="0"/>
        <w:autoSpaceDN w:val="0"/>
        <w:adjustRightInd w:val="0"/>
        <w:ind w:firstLine="600" w:firstLineChars="250"/>
        <w:rPr>
          <w:rFonts w:hint="eastAsia" w:ascii="宋体" w:hAnsi="宋体" w:eastAsia="宋体"/>
          <w:color w:val="auto"/>
          <w:sz w:val="24"/>
          <w:szCs w:val="22"/>
          <w:lang w:eastAsia="zh-CN"/>
        </w:rPr>
      </w:pPr>
      <w:r>
        <w:rPr>
          <w:rFonts w:hint="eastAsia" w:ascii="宋体" w:hAnsi="宋体"/>
          <w:color w:val="auto"/>
          <w:sz w:val="24"/>
          <w:szCs w:val="22"/>
        </w:rPr>
        <w:t>(3)法定检测机构出具的完整的产品注册检测报告</w:t>
      </w:r>
      <w:r>
        <w:rPr>
          <w:rFonts w:hint="eastAsia" w:ascii="宋体" w:hAnsi="宋体"/>
          <w:color w:val="auto"/>
          <w:sz w:val="24"/>
          <w:szCs w:val="22"/>
          <w:lang w:eastAsia="zh-CN"/>
        </w:rPr>
        <w:t>；</w:t>
      </w:r>
    </w:p>
    <w:p>
      <w:pPr>
        <w:autoSpaceDE w:val="0"/>
        <w:autoSpaceDN w:val="0"/>
        <w:adjustRightInd w:val="0"/>
        <w:ind w:firstLine="600" w:firstLineChars="250"/>
        <w:rPr>
          <w:rFonts w:hint="eastAsia" w:ascii="宋体" w:hAnsi="宋体" w:eastAsia="宋体"/>
          <w:color w:val="auto"/>
          <w:sz w:val="24"/>
          <w:szCs w:val="22"/>
          <w:lang w:eastAsia="zh-CN"/>
        </w:rPr>
      </w:pPr>
      <w:r>
        <w:rPr>
          <w:rFonts w:hint="eastAsia" w:ascii="宋体" w:hAnsi="宋体"/>
          <w:color w:val="auto"/>
          <w:sz w:val="24"/>
          <w:szCs w:val="22"/>
        </w:rPr>
        <w:t>(4)产品使用说明书</w:t>
      </w:r>
      <w:r>
        <w:rPr>
          <w:rFonts w:hint="eastAsia" w:ascii="宋体" w:hAnsi="宋体"/>
          <w:color w:val="auto"/>
          <w:sz w:val="24"/>
          <w:szCs w:val="22"/>
          <w:lang w:eastAsia="zh-CN"/>
        </w:rPr>
        <w:t>；</w:t>
      </w:r>
    </w:p>
    <w:p>
      <w:pPr>
        <w:autoSpaceDE w:val="0"/>
        <w:autoSpaceDN w:val="0"/>
        <w:adjustRightInd w:val="0"/>
        <w:ind w:firstLine="600" w:firstLineChars="250"/>
        <w:rPr>
          <w:rFonts w:hint="eastAsia" w:ascii="宋体" w:hAnsi="宋体" w:eastAsia="宋体"/>
          <w:color w:val="auto"/>
          <w:sz w:val="24"/>
          <w:szCs w:val="22"/>
          <w:lang w:eastAsia="zh-CN"/>
        </w:rPr>
      </w:pPr>
      <w:r>
        <w:rPr>
          <w:rFonts w:hint="eastAsia" w:ascii="宋体" w:hAnsi="宋体"/>
          <w:color w:val="auto"/>
          <w:sz w:val="24"/>
          <w:szCs w:val="22"/>
        </w:rPr>
        <w:t>(</w:t>
      </w:r>
      <w:r>
        <w:rPr>
          <w:rFonts w:hint="eastAsia" w:ascii="宋体" w:hAnsi="宋体"/>
          <w:color w:val="auto"/>
          <w:sz w:val="24"/>
          <w:szCs w:val="22"/>
          <w:lang w:val="en-US" w:eastAsia="zh-CN"/>
        </w:rPr>
        <w:t>5</w:t>
      </w:r>
      <w:r>
        <w:rPr>
          <w:rFonts w:hint="eastAsia" w:ascii="宋体" w:hAnsi="宋体"/>
          <w:color w:val="auto"/>
          <w:sz w:val="24"/>
          <w:szCs w:val="22"/>
        </w:rPr>
        <w:t>)</w:t>
      </w:r>
      <w:r>
        <w:rPr>
          <w:rFonts w:hint="eastAsia" w:ascii="宋体" w:hAnsi="宋体"/>
          <w:color w:val="auto"/>
          <w:sz w:val="24"/>
          <w:szCs w:val="22"/>
          <w:lang w:val="en-US" w:eastAsia="zh-CN"/>
        </w:rPr>
        <w:t>若</w:t>
      </w:r>
      <w:r>
        <w:rPr>
          <w:rFonts w:hint="eastAsia" w:ascii="宋体" w:hAnsi="宋体"/>
          <w:bCs/>
          <w:color w:val="auto"/>
          <w:sz w:val="24"/>
          <w:szCs w:val="22"/>
        </w:rPr>
        <w:t>“</w:t>
      </w:r>
      <w:r>
        <w:rPr>
          <w:rFonts w:hint="eastAsia" w:ascii="宋体" w:hAnsi="宋体"/>
          <w:bCs/>
          <w:color w:val="auto"/>
          <w:sz w:val="24"/>
          <w:szCs w:val="22"/>
          <w:lang w:eastAsia="zh-CN"/>
        </w:rPr>
        <w:t>▲</w:t>
      </w:r>
      <w:r>
        <w:rPr>
          <w:rFonts w:hint="eastAsia" w:ascii="宋体" w:hAnsi="宋体"/>
          <w:bCs/>
          <w:color w:val="auto"/>
          <w:sz w:val="24"/>
          <w:szCs w:val="22"/>
        </w:rPr>
        <w:t>”或“</w:t>
      </w:r>
      <w:r>
        <w:rPr>
          <w:rFonts w:hint="eastAsia" w:ascii="宋体" w:hAnsi="宋体"/>
          <w:color w:val="auto"/>
          <w:sz w:val="24"/>
          <w:szCs w:val="22"/>
        </w:rPr>
        <w:t>★”号参数</w:t>
      </w:r>
      <w:r>
        <w:rPr>
          <w:rFonts w:hint="eastAsia" w:ascii="宋体" w:hAnsi="宋体"/>
          <w:color w:val="auto"/>
          <w:sz w:val="24"/>
          <w:szCs w:val="22"/>
          <w:lang w:val="en-US" w:eastAsia="zh-CN"/>
        </w:rPr>
        <w:t>要求提供相关材料予以证明的，</w:t>
      </w:r>
      <w:r>
        <w:rPr>
          <w:rFonts w:ascii="宋体" w:hAnsi="宋体" w:eastAsia="宋体" w:cs="宋体"/>
          <w:color w:val="auto"/>
          <w:sz w:val="24"/>
          <w:szCs w:val="24"/>
        </w:rPr>
        <w:t>则提供</w:t>
      </w:r>
      <w:r>
        <w:rPr>
          <w:rFonts w:hint="eastAsia" w:ascii="宋体" w:hAnsi="宋体" w:eastAsia="宋体" w:cs="宋体"/>
          <w:color w:val="auto"/>
          <w:sz w:val="24"/>
          <w:szCs w:val="24"/>
          <w:lang w:val="en-US" w:eastAsia="zh-CN"/>
        </w:rPr>
        <w:t>相应材料即可</w:t>
      </w:r>
      <w:r>
        <w:rPr>
          <w:rFonts w:hint="eastAsia" w:ascii="宋体" w:hAnsi="宋体"/>
          <w:color w:val="auto"/>
          <w:sz w:val="24"/>
          <w:szCs w:val="22"/>
          <w:lang w:eastAsia="zh-CN"/>
        </w:rPr>
        <w:t>；</w:t>
      </w:r>
    </w:p>
    <w:p>
      <w:pPr>
        <w:autoSpaceDE w:val="0"/>
        <w:autoSpaceDN w:val="0"/>
        <w:adjustRightInd w:val="0"/>
        <w:ind w:firstLine="600" w:firstLineChars="250"/>
        <w:rPr>
          <w:rFonts w:hint="eastAsia" w:ascii="宋体" w:hAnsi="宋体" w:eastAsia="宋体"/>
          <w:color w:val="auto"/>
          <w:sz w:val="24"/>
          <w:szCs w:val="22"/>
          <w:lang w:val="en-US" w:eastAsia="zh-CN"/>
        </w:rPr>
      </w:pPr>
      <w:r>
        <w:rPr>
          <w:rFonts w:hint="eastAsia" w:ascii="宋体" w:hAnsi="宋体"/>
          <w:color w:val="auto"/>
          <w:sz w:val="24"/>
          <w:szCs w:val="22"/>
        </w:rPr>
        <w:t>(</w:t>
      </w:r>
      <w:r>
        <w:rPr>
          <w:rFonts w:hint="eastAsia" w:ascii="宋体" w:hAnsi="宋体"/>
          <w:color w:val="auto"/>
          <w:sz w:val="24"/>
          <w:szCs w:val="22"/>
          <w:lang w:val="en-US" w:eastAsia="zh-CN"/>
        </w:rPr>
        <w:t>6</w:t>
      </w:r>
      <w:r>
        <w:rPr>
          <w:rFonts w:hint="eastAsia" w:ascii="宋体" w:hAnsi="宋体"/>
          <w:color w:val="auto"/>
          <w:sz w:val="24"/>
          <w:szCs w:val="22"/>
        </w:rPr>
        <w:t>)</w:t>
      </w:r>
      <w:r>
        <w:rPr>
          <w:rFonts w:hint="eastAsia" w:ascii="宋体" w:hAnsi="宋体"/>
          <w:color w:val="auto"/>
          <w:sz w:val="24"/>
          <w:szCs w:val="22"/>
          <w:lang w:val="en-US" w:eastAsia="zh-CN"/>
        </w:rPr>
        <w:t>若</w:t>
      </w:r>
      <w:r>
        <w:rPr>
          <w:rFonts w:hint="eastAsia" w:ascii="宋体" w:hAnsi="宋体"/>
          <w:bCs/>
          <w:color w:val="auto"/>
          <w:sz w:val="24"/>
          <w:szCs w:val="22"/>
        </w:rPr>
        <w:t>“</w:t>
      </w:r>
      <w:r>
        <w:rPr>
          <w:rFonts w:hint="eastAsia" w:ascii="宋体" w:hAnsi="宋体"/>
          <w:bCs/>
          <w:color w:val="auto"/>
          <w:sz w:val="24"/>
          <w:szCs w:val="22"/>
          <w:lang w:eastAsia="zh-CN"/>
        </w:rPr>
        <w:t>▲</w:t>
      </w:r>
      <w:r>
        <w:rPr>
          <w:rFonts w:hint="eastAsia" w:ascii="宋体" w:hAnsi="宋体"/>
          <w:bCs/>
          <w:color w:val="auto"/>
          <w:sz w:val="24"/>
          <w:szCs w:val="22"/>
        </w:rPr>
        <w:t>”或“</w:t>
      </w:r>
      <w:r>
        <w:rPr>
          <w:rFonts w:hint="eastAsia" w:ascii="宋体" w:hAnsi="宋体"/>
          <w:color w:val="auto"/>
          <w:sz w:val="24"/>
          <w:szCs w:val="22"/>
        </w:rPr>
        <w:t>★”号参数</w:t>
      </w:r>
      <w:r>
        <w:rPr>
          <w:rFonts w:hint="eastAsia" w:ascii="宋体" w:hAnsi="宋体"/>
          <w:color w:val="auto"/>
          <w:sz w:val="24"/>
          <w:szCs w:val="22"/>
          <w:lang w:val="en-US" w:eastAsia="zh-CN"/>
        </w:rPr>
        <w:t>要求提供承诺函的，</w:t>
      </w:r>
      <w:r>
        <w:rPr>
          <w:rFonts w:ascii="宋体" w:hAnsi="宋体" w:eastAsia="宋体" w:cs="宋体"/>
          <w:color w:val="auto"/>
          <w:sz w:val="24"/>
          <w:szCs w:val="24"/>
        </w:rPr>
        <w:t>则提供</w:t>
      </w:r>
      <w:r>
        <w:rPr>
          <w:rFonts w:hint="eastAsia" w:ascii="宋体" w:hAnsi="宋体" w:eastAsia="宋体" w:cs="宋体"/>
          <w:color w:val="auto"/>
          <w:sz w:val="24"/>
          <w:szCs w:val="24"/>
          <w:lang w:val="en-US" w:eastAsia="zh-CN"/>
        </w:rPr>
        <w:t>相应</w:t>
      </w:r>
      <w:r>
        <w:rPr>
          <w:rFonts w:ascii="宋体" w:hAnsi="宋体" w:eastAsia="宋体" w:cs="宋体"/>
          <w:color w:val="auto"/>
          <w:sz w:val="24"/>
          <w:szCs w:val="24"/>
        </w:rPr>
        <w:t>承诺</w:t>
      </w:r>
      <w:r>
        <w:rPr>
          <w:rFonts w:hint="eastAsia" w:ascii="宋体" w:hAnsi="宋体" w:eastAsia="宋体" w:cs="宋体"/>
          <w:color w:val="auto"/>
          <w:sz w:val="24"/>
          <w:szCs w:val="24"/>
          <w:lang w:val="en-US" w:eastAsia="zh-CN"/>
        </w:rPr>
        <w:t>函</w:t>
      </w:r>
      <w:r>
        <w:rPr>
          <w:rFonts w:ascii="宋体" w:hAnsi="宋体" w:eastAsia="宋体" w:cs="宋体"/>
          <w:color w:val="auto"/>
          <w:sz w:val="24"/>
          <w:szCs w:val="24"/>
        </w:rPr>
        <w:t>即可</w:t>
      </w:r>
      <w:r>
        <w:rPr>
          <w:rFonts w:hint="eastAsia" w:ascii="宋体" w:hAnsi="宋体" w:eastAsia="宋体" w:cs="宋体"/>
          <w:color w:val="auto"/>
          <w:sz w:val="24"/>
          <w:szCs w:val="24"/>
          <w:lang w:eastAsia="zh-CN"/>
        </w:rPr>
        <w:t>。</w:t>
      </w:r>
    </w:p>
    <w:p>
      <w:pPr>
        <w:autoSpaceDE w:val="0"/>
        <w:autoSpaceDN w:val="0"/>
        <w:adjustRightInd w:val="0"/>
        <w:ind w:firstLine="480" w:firstLineChars="200"/>
        <w:rPr>
          <w:rFonts w:hint="eastAsia" w:ascii="宋体" w:hAnsi="宋体"/>
          <w:color w:val="auto"/>
          <w:sz w:val="24"/>
          <w:szCs w:val="22"/>
        </w:rPr>
      </w:pPr>
      <w:r>
        <w:rPr>
          <w:rFonts w:hint="eastAsia" w:ascii="宋体" w:hAnsi="宋体"/>
          <w:color w:val="auto"/>
          <w:sz w:val="24"/>
          <w:szCs w:val="22"/>
        </w:rPr>
        <w:t>未提供或出现对相同技术指标的说明不一致,视为无效技术支持资料，评标委员会可认定为不满足“★”或</w:t>
      </w:r>
      <w:r>
        <w:rPr>
          <w:rFonts w:hint="eastAsia" w:ascii="宋体" w:hAnsi="宋体"/>
          <w:b/>
          <w:color w:val="auto"/>
          <w:sz w:val="24"/>
          <w:szCs w:val="22"/>
        </w:rPr>
        <w:t>“</w:t>
      </w:r>
      <w:r>
        <w:rPr>
          <w:rFonts w:hint="eastAsia" w:ascii="宋体" w:hAnsi="宋体"/>
          <w:b/>
          <w:color w:val="auto"/>
          <w:sz w:val="24"/>
          <w:szCs w:val="22"/>
          <w:lang w:eastAsia="zh-CN"/>
        </w:rPr>
        <w:t>▲</w:t>
      </w:r>
      <w:r>
        <w:rPr>
          <w:rFonts w:hint="eastAsia" w:ascii="宋体" w:hAnsi="宋体"/>
          <w:b/>
          <w:color w:val="auto"/>
          <w:sz w:val="24"/>
          <w:szCs w:val="22"/>
        </w:rPr>
        <w:t>”</w:t>
      </w:r>
      <w:r>
        <w:rPr>
          <w:rFonts w:hint="eastAsia" w:ascii="宋体" w:hAnsi="宋体"/>
          <w:color w:val="auto"/>
          <w:sz w:val="24"/>
          <w:szCs w:val="22"/>
        </w:rPr>
        <w:t>号参数。</w:t>
      </w:r>
    </w:p>
    <w:p>
      <w:pPr>
        <w:autoSpaceDE w:val="0"/>
        <w:autoSpaceDN w:val="0"/>
        <w:adjustRightInd w:val="0"/>
        <w:ind w:firstLine="482" w:firstLineChars="200"/>
        <w:rPr>
          <w:rFonts w:ascii="宋体" w:hAnsi="宋体"/>
          <w:b/>
          <w:bCs/>
          <w:color w:val="auto"/>
          <w:sz w:val="24"/>
        </w:rPr>
      </w:pPr>
      <w:r>
        <w:rPr>
          <w:rFonts w:hint="eastAsia" w:ascii="宋体" w:hAnsi="宋体"/>
          <w:b/>
          <w:color w:val="auto"/>
          <w:sz w:val="24"/>
          <w:szCs w:val="22"/>
          <w:lang w:val="en-US" w:eastAsia="zh-CN"/>
        </w:rPr>
        <w:t>4</w:t>
      </w:r>
      <w:r>
        <w:rPr>
          <w:rFonts w:hint="eastAsia" w:ascii="宋体" w:hAnsi="宋体"/>
          <w:b/>
          <w:color w:val="auto"/>
          <w:sz w:val="24"/>
          <w:szCs w:val="22"/>
        </w:rPr>
        <w:t>、</w:t>
      </w:r>
      <w:r>
        <w:rPr>
          <w:rFonts w:hint="eastAsia" w:ascii="宋体" w:hAnsi="宋体"/>
          <w:b/>
          <w:bCs/>
          <w:color w:val="auto"/>
          <w:sz w:val="24"/>
        </w:rPr>
        <w:t>针对本项目评标办法，投标人提供评审自评表，自评表中须逐一明确针对评标办法评分细则表格中每一项的自评分、评分理由、评分内容（证明材料）对应投标文件页码（投标文件必须全文编写页码），并且在证明材料页对关键证明内容用红框标注。格式参照以下表格：</w:t>
      </w:r>
    </w:p>
    <w:p>
      <w:pPr>
        <w:autoSpaceDE w:val="0"/>
        <w:autoSpaceDN w:val="0"/>
        <w:adjustRightInd w:val="0"/>
        <w:jc w:val="center"/>
        <w:rPr>
          <w:rFonts w:ascii="宋体"/>
          <w:b/>
          <w:color w:val="auto"/>
          <w:sz w:val="24"/>
          <w:szCs w:val="22"/>
        </w:rPr>
      </w:pPr>
    </w:p>
    <w:p>
      <w:pPr>
        <w:autoSpaceDE w:val="0"/>
        <w:autoSpaceDN w:val="0"/>
        <w:adjustRightInd w:val="0"/>
        <w:jc w:val="center"/>
        <w:rPr>
          <w:rFonts w:ascii="宋体"/>
          <w:b/>
          <w:color w:val="auto"/>
          <w:sz w:val="24"/>
          <w:szCs w:val="22"/>
        </w:rPr>
      </w:pPr>
      <w:r>
        <w:rPr>
          <w:rFonts w:hint="eastAsia" w:ascii="宋体"/>
          <w:b/>
          <w:color w:val="auto"/>
          <w:sz w:val="24"/>
          <w:szCs w:val="22"/>
        </w:rPr>
        <w:t>投标人自评表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345"/>
        <w:gridCol w:w="1276"/>
        <w:gridCol w:w="992"/>
        <w:gridCol w:w="810"/>
        <w:gridCol w:w="850"/>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color w:val="auto"/>
                <w:sz w:val="24"/>
              </w:rPr>
            </w:pPr>
            <w:r>
              <w:rPr>
                <w:rFonts w:hint="eastAsia" w:ascii="宋体" w:hAnsi="宋体"/>
                <w:color w:val="auto"/>
                <w:sz w:val="24"/>
              </w:rPr>
              <w:t>序号</w:t>
            </w:r>
          </w:p>
        </w:tc>
        <w:tc>
          <w:tcPr>
            <w:tcW w:w="234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color w:val="auto"/>
                <w:sz w:val="24"/>
              </w:rPr>
            </w:pPr>
            <w:r>
              <w:rPr>
                <w:rFonts w:hint="eastAsia" w:ascii="宋体" w:hAnsi="宋体"/>
                <w:color w:val="auto"/>
                <w:sz w:val="24"/>
              </w:rPr>
              <w:t>评审项目</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color w:val="auto"/>
                <w:sz w:val="24"/>
              </w:rPr>
            </w:pPr>
            <w:r>
              <w:rPr>
                <w:rFonts w:hint="eastAsia" w:ascii="宋体" w:hAnsi="宋体"/>
                <w:color w:val="auto"/>
                <w:sz w:val="24"/>
              </w:rPr>
              <w:t>评分细则</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分值</w:t>
            </w:r>
          </w:p>
          <w:p>
            <w:pPr>
              <w:jc w:val="center"/>
              <w:rPr>
                <w:rFonts w:ascii="宋体" w:hAnsi="宋体"/>
                <w:color w:val="auto"/>
                <w:sz w:val="24"/>
              </w:rPr>
            </w:pPr>
            <w:r>
              <w:rPr>
                <w:rFonts w:hint="eastAsia" w:ascii="宋体" w:hAnsi="宋体"/>
                <w:color w:val="auto"/>
                <w:sz w:val="24"/>
              </w:rPr>
              <w:t>范围</w:t>
            </w:r>
          </w:p>
        </w:tc>
        <w:tc>
          <w:tcPr>
            <w:tcW w:w="8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自评</w:t>
            </w:r>
          </w:p>
          <w:p>
            <w:pPr>
              <w:jc w:val="center"/>
              <w:rPr>
                <w:rFonts w:ascii="宋体" w:hAnsi="宋体"/>
                <w:color w:val="auto"/>
                <w:sz w:val="24"/>
              </w:rPr>
            </w:pPr>
            <w:r>
              <w:rPr>
                <w:rFonts w:hint="eastAsia" w:ascii="宋体" w:hAnsi="宋体"/>
                <w:color w:val="auto"/>
                <w:sz w:val="24"/>
              </w:rPr>
              <w:t>分数</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评分理由</w:t>
            </w:r>
          </w:p>
        </w:tc>
        <w:tc>
          <w:tcPr>
            <w:tcW w:w="78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rPr>
            </w:pPr>
            <w:r>
              <w:rPr>
                <w:rFonts w:hint="eastAsia" w:ascii="宋体" w:hAnsi="宋体"/>
                <w:color w:val="auto"/>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color w:val="auto"/>
                <w:sz w:val="24"/>
              </w:rPr>
            </w:pPr>
            <w:r>
              <w:rPr>
                <w:rFonts w:hint="eastAsia" w:ascii="宋体" w:hAnsi="宋体"/>
                <w:color w:val="auto"/>
                <w:sz w:val="24"/>
              </w:rPr>
              <w:t>1</w:t>
            </w:r>
          </w:p>
        </w:tc>
        <w:tc>
          <w:tcPr>
            <w:tcW w:w="23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after="120" w:afterLines="50"/>
              <w:rPr>
                <w:rFonts w:ascii="宋体" w:hAnsi="宋体"/>
                <w:bCs/>
                <w:color w:val="auto"/>
                <w:sz w:val="24"/>
              </w:rPr>
            </w:pPr>
          </w:p>
        </w:tc>
        <w:tc>
          <w:tcPr>
            <w:tcW w:w="992" w:type="dxa"/>
            <w:tcBorders>
              <w:top w:val="single" w:color="auto" w:sz="4" w:space="0"/>
              <w:left w:val="single" w:color="auto" w:sz="4" w:space="0"/>
              <w:right w:val="single" w:color="auto" w:sz="4" w:space="0"/>
            </w:tcBorders>
            <w:noWrap w:val="0"/>
            <w:vAlign w:val="center"/>
          </w:tcPr>
          <w:p>
            <w:pPr>
              <w:spacing w:line="360" w:lineRule="exact"/>
              <w:jc w:val="center"/>
              <w:rPr>
                <w:rFonts w:ascii="宋体" w:hAnsi="宋体"/>
                <w:b/>
                <w:color w:val="auto"/>
                <w:sz w:val="24"/>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color w:val="auto"/>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color w:val="auto"/>
                <w:sz w:val="24"/>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color w:val="auto"/>
                <w:sz w:val="24"/>
              </w:rPr>
            </w:pPr>
            <w:r>
              <w:rPr>
                <w:rFonts w:hint="eastAsia" w:ascii="宋体" w:hAnsi="宋体"/>
                <w:color w:val="auto"/>
                <w:sz w:val="24"/>
              </w:rPr>
              <w:t>2</w:t>
            </w:r>
          </w:p>
        </w:tc>
        <w:tc>
          <w:tcPr>
            <w:tcW w:w="23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rPr>
                <w:rFonts w:ascii="宋体" w:hAnsi="宋体"/>
                <w:color w:val="auto"/>
                <w:sz w:val="24"/>
              </w:rPr>
            </w:pPr>
          </w:p>
        </w:tc>
        <w:tc>
          <w:tcPr>
            <w:tcW w:w="992" w:type="dxa"/>
            <w:tcBorders>
              <w:left w:val="single" w:color="auto" w:sz="4" w:space="0"/>
              <w:right w:val="single" w:color="auto" w:sz="4" w:space="0"/>
            </w:tcBorders>
            <w:noWrap w:val="0"/>
            <w:vAlign w:val="center"/>
          </w:tcPr>
          <w:p>
            <w:pPr>
              <w:spacing w:line="360" w:lineRule="exact"/>
              <w:jc w:val="center"/>
              <w:rPr>
                <w:rFonts w:ascii="宋体" w:hAnsi="宋体"/>
                <w:b/>
                <w:bCs/>
                <w:color w:val="auto"/>
                <w:sz w:val="24"/>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color w:val="auto"/>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color w:val="auto"/>
                <w:sz w:val="24"/>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color w:val="auto"/>
                <w:sz w:val="24"/>
              </w:rPr>
            </w:pPr>
            <w:r>
              <w:rPr>
                <w:rFonts w:hint="eastAsia" w:ascii="宋体" w:hAnsi="宋体"/>
                <w:color w:val="auto"/>
                <w:sz w:val="24"/>
              </w:rPr>
              <w:t>3</w:t>
            </w:r>
          </w:p>
        </w:tc>
        <w:tc>
          <w:tcPr>
            <w:tcW w:w="2345"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rPr>
                <w:rFonts w:ascii="宋体" w:hAnsi="宋体"/>
                <w:color w:val="auto"/>
                <w:sz w:val="24"/>
              </w:rPr>
            </w:pPr>
          </w:p>
        </w:tc>
        <w:tc>
          <w:tcPr>
            <w:tcW w:w="992" w:type="dxa"/>
            <w:tcBorders>
              <w:left w:val="single" w:color="auto" w:sz="4" w:space="0"/>
              <w:right w:val="single" w:color="auto" w:sz="4" w:space="0"/>
            </w:tcBorders>
            <w:noWrap w:val="0"/>
            <w:vAlign w:val="center"/>
          </w:tcPr>
          <w:p>
            <w:pPr>
              <w:spacing w:line="360" w:lineRule="exact"/>
              <w:jc w:val="center"/>
              <w:rPr>
                <w:rFonts w:ascii="宋体" w:hAnsi="宋体"/>
                <w:b/>
                <w:bCs/>
                <w:color w:val="auto"/>
                <w:sz w:val="24"/>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color w:val="auto"/>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color w:val="auto"/>
                <w:sz w:val="24"/>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color w:val="auto"/>
                <w:sz w:val="24"/>
              </w:rPr>
            </w:pPr>
            <w:r>
              <w:rPr>
                <w:rFonts w:hint="eastAsia" w:ascii="宋体" w:hAnsi="宋体"/>
                <w:color w:val="auto"/>
                <w:sz w:val="24"/>
              </w:rPr>
              <w:t>4</w:t>
            </w:r>
          </w:p>
        </w:tc>
        <w:tc>
          <w:tcPr>
            <w:tcW w:w="234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after="120" w:afterLines="50"/>
              <w:rPr>
                <w:rFonts w:ascii="宋体" w:hAnsi="宋体"/>
                <w:color w:val="auto"/>
                <w:sz w:val="24"/>
              </w:rPr>
            </w:pPr>
          </w:p>
        </w:tc>
        <w:tc>
          <w:tcPr>
            <w:tcW w:w="992" w:type="dxa"/>
            <w:tcBorders>
              <w:left w:val="single" w:color="auto" w:sz="4" w:space="0"/>
              <w:right w:val="single" w:color="auto" w:sz="4" w:space="0"/>
            </w:tcBorders>
            <w:noWrap w:val="0"/>
            <w:vAlign w:val="center"/>
          </w:tcPr>
          <w:p>
            <w:pPr>
              <w:spacing w:line="360" w:lineRule="exact"/>
              <w:jc w:val="center"/>
              <w:rPr>
                <w:rFonts w:ascii="宋体" w:hAnsi="宋体"/>
                <w:b/>
                <w:bCs/>
                <w:color w:val="auto"/>
                <w:sz w:val="24"/>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color w:val="auto"/>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color w:val="auto"/>
                <w:sz w:val="24"/>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color w:val="auto"/>
                <w:sz w:val="24"/>
              </w:rPr>
            </w:pPr>
            <w:r>
              <w:rPr>
                <w:rFonts w:hint="eastAsia" w:ascii="宋体" w:hAnsi="宋体"/>
                <w:color w:val="auto"/>
                <w:sz w:val="24"/>
              </w:rPr>
              <w:t>5</w:t>
            </w:r>
          </w:p>
        </w:tc>
        <w:tc>
          <w:tcPr>
            <w:tcW w:w="234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rPr>
                <w:rFonts w:ascii="宋体" w:hAnsi="宋体"/>
                <w:color w:val="auto"/>
                <w:sz w:val="24"/>
              </w:rPr>
            </w:pPr>
          </w:p>
        </w:tc>
        <w:tc>
          <w:tcPr>
            <w:tcW w:w="992" w:type="dxa"/>
            <w:tcBorders>
              <w:left w:val="single" w:color="auto" w:sz="4" w:space="0"/>
              <w:right w:val="single" w:color="auto" w:sz="4" w:space="0"/>
            </w:tcBorders>
            <w:noWrap w:val="0"/>
            <w:vAlign w:val="center"/>
          </w:tcPr>
          <w:p>
            <w:pPr>
              <w:spacing w:line="360" w:lineRule="exact"/>
              <w:jc w:val="center"/>
              <w:rPr>
                <w:rFonts w:ascii="宋体" w:hAnsi="宋体"/>
                <w:b/>
                <w:color w:val="auto"/>
                <w:sz w:val="24"/>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color w:val="auto"/>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color w:val="auto"/>
                <w:sz w:val="24"/>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22" w:type="dxa"/>
            <w:gridSpan w:val="3"/>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color w:val="auto"/>
                <w:sz w:val="24"/>
              </w:rPr>
            </w:pPr>
            <w:r>
              <w:rPr>
                <w:rFonts w:ascii="宋体" w:hAnsi="宋体"/>
                <w:color w:val="auto"/>
                <w:sz w:val="24"/>
              </w:rPr>
              <w:t>总分</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ind w:left="-4" w:leftChars="-2"/>
              <w:jc w:val="center"/>
              <w:rPr>
                <w:rFonts w:ascii="宋体" w:hAnsi="宋体"/>
                <w:color w:val="auto"/>
                <w:sz w:val="24"/>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ind w:left="-4" w:leftChars="-2"/>
              <w:jc w:val="center"/>
              <w:rPr>
                <w:rFonts w:ascii="宋体" w:hAnsi="宋体"/>
                <w:color w:val="auto"/>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ind w:left="-4" w:leftChars="-2"/>
              <w:jc w:val="center"/>
              <w:rPr>
                <w:rFonts w:ascii="宋体" w:hAnsi="宋体"/>
                <w:color w:val="auto"/>
                <w:sz w:val="24"/>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ind w:left="-4" w:leftChars="-2"/>
              <w:jc w:val="center"/>
              <w:rPr>
                <w:rFonts w:ascii="宋体" w:hAnsi="宋体"/>
                <w:color w:val="auto"/>
                <w:sz w:val="24"/>
              </w:rPr>
            </w:pPr>
          </w:p>
        </w:tc>
      </w:tr>
    </w:tbl>
    <w:p>
      <w:pPr>
        <w:autoSpaceDE w:val="0"/>
        <w:autoSpaceDN w:val="0"/>
        <w:adjustRightInd w:val="0"/>
        <w:jc w:val="center"/>
        <w:rPr>
          <w:rFonts w:ascii="宋体"/>
          <w:b/>
          <w:color w:val="auto"/>
          <w:sz w:val="24"/>
          <w:szCs w:val="22"/>
        </w:rPr>
      </w:pPr>
    </w:p>
    <w:p>
      <w:pPr>
        <w:adjustRightInd w:val="0"/>
        <w:snapToGrid w:val="0"/>
        <w:spacing w:line="360" w:lineRule="auto"/>
        <w:ind w:right="-11" w:firstLine="480" w:firstLineChars="200"/>
        <w:rPr>
          <w:rFonts w:ascii="宋体" w:hAnsi="宋体"/>
          <w:color w:val="auto"/>
          <w:sz w:val="24"/>
        </w:rPr>
      </w:pPr>
      <w:r>
        <w:rPr>
          <w:rFonts w:hint="eastAsia" w:ascii="宋体" w:hAnsi="宋体"/>
          <w:color w:val="auto"/>
          <w:sz w:val="24"/>
        </w:rPr>
        <w:t>3、技术分的汇总方法为：对某一投标供应商的得分，取各位评委评分之平均值，四舍五入保留至小数点后两位数，得到该投标供应商的技术分。</w:t>
      </w:r>
    </w:p>
    <w:p>
      <w:pPr>
        <w:pStyle w:val="4"/>
        <w:spacing w:line="360" w:lineRule="auto"/>
        <w:ind w:right="-11"/>
        <w:rPr>
          <w:rFonts w:ascii="宋体" w:hAnsi="宋体"/>
          <w:color w:val="auto"/>
          <w:sz w:val="24"/>
        </w:rPr>
      </w:pPr>
      <w:r>
        <w:rPr>
          <w:rFonts w:hint="eastAsia" w:ascii="宋体" w:hAnsi="宋体"/>
          <w:color w:val="auto"/>
          <w:sz w:val="24"/>
        </w:rPr>
        <w:t>4、得分汇总</w:t>
      </w:r>
    </w:p>
    <w:p>
      <w:pPr>
        <w:pStyle w:val="4"/>
        <w:spacing w:line="360" w:lineRule="auto"/>
        <w:ind w:left="-141" w:leftChars="-67" w:right="-11" w:firstLine="561" w:firstLineChars="234"/>
        <w:rPr>
          <w:rFonts w:ascii="宋体" w:hAnsi="宋体"/>
          <w:color w:val="auto"/>
          <w:sz w:val="24"/>
        </w:rPr>
      </w:pPr>
      <w:r>
        <w:rPr>
          <w:rFonts w:hint="eastAsia" w:ascii="宋体" w:hAnsi="宋体"/>
          <w:color w:val="auto"/>
          <w:sz w:val="24"/>
        </w:rPr>
        <w:t>（1）将每个有效投标供应商的技术分之和加上根据上述标准计算出的价格分，即为该投标供应商的综合总得分。</w:t>
      </w:r>
    </w:p>
    <w:p>
      <w:pPr>
        <w:pStyle w:val="4"/>
        <w:spacing w:line="360" w:lineRule="auto"/>
        <w:ind w:left="-141" w:leftChars="-67" w:right="-11" w:firstLine="480" w:firstLineChars="200"/>
        <w:rPr>
          <w:rFonts w:ascii="宋体" w:hAnsi="宋体"/>
          <w:color w:val="auto"/>
          <w:sz w:val="24"/>
        </w:rPr>
      </w:pPr>
      <w:r>
        <w:rPr>
          <w:rFonts w:hint="eastAsia" w:ascii="宋体" w:hAnsi="宋体"/>
          <w:color w:val="auto"/>
          <w:sz w:val="24"/>
        </w:rPr>
        <w:t>（2）按照有效投标供应商综合总得分由高到低依次排出中标供应商及中标候选供应商。</w:t>
      </w:r>
    </w:p>
    <w:p>
      <w:pPr>
        <w:adjustRightInd w:val="0"/>
        <w:snapToGrid w:val="0"/>
        <w:spacing w:line="360" w:lineRule="auto"/>
        <w:ind w:right="-11" w:firstLine="482" w:firstLineChars="200"/>
        <w:rPr>
          <w:rFonts w:ascii="宋体" w:hAnsi="宋体"/>
          <w:b/>
          <w:color w:val="auto"/>
          <w:sz w:val="24"/>
        </w:rPr>
      </w:pPr>
      <w:r>
        <w:rPr>
          <w:rFonts w:hint="eastAsia" w:ascii="宋体" w:hAnsi="宋体"/>
          <w:b/>
          <w:color w:val="auto"/>
          <w:sz w:val="24"/>
        </w:rPr>
        <w:t xml:space="preserve">第十条 </w:t>
      </w:r>
      <w:r>
        <w:rPr>
          <w:rFonts w:hint="eastAsia" w:ascii="宋体" w:hAnsi="宋体"/>
          <w:color w:val="auto"/>
          <w:sz w:val="24"/>
        </w:rPr>
        <w:t>各投标供应商的得分分值一经得出，并核对无误后，任何人不得更改。</w:t>
      </w:r>
    </w:p>
    <w:p>
      <w:pPr>
        <w:pStyle w:val="4"/>
        <w:spacing w:line="360" w:lineRule="auto"/>
        <w:ind w:left="0" w:leftChars="0" w:right="-11" w:firstLine="482" w:firstLineChars="200"/>
        <w:rPr>
          <w:rFonts w:ascii="宋体" w:hAnsi="宋体"/>
          <w:color w:val="auto"/>
          <w:sz w:val="24"/>
        </w:rPr>
      </w:pPr>
      <w:r>
        <w:rPr>
          <w:rFonts w:hint="eastAsia" w:ascii="宋体" w:hAnsi="宋体"/>
          <w:b/>
          <w:color w:val="auto"/>
          <w:sz w:val="24"/>
        </w:rPr>
        <w:t xml:space="preserve">第十一条 </w:t>
      </w:r>
      <w:r>
        <w:rPr>
          <w:rFonts w:hint="eastAsia" w:ascii="宋体" w:hAnsi="宋体"/>
          <w:color w:val="auto"/>
          <w:sz w:val="24"/>
        </w:rPr>
        <w:t>如果综合总得分出现两家或两家以上相同者，按投标报价由低到高排序；总得分且投标报价均相同的，则采取投标供应商抽签方式确定中标候选顺序。</w:t>
      </w:r>
    </w:p>
    <w:p>
      <w:pPr>
        <w:adjustRightInd w:val="0"/>
        <w:snapToGrid w:val="0"/>
        <w:spacing w:line="360" w:lineRule="auto"/>
        <w:ind w:right="-11" w:firstLine="482" w:firstLineChars="200"/>
        <w:rPr>
          <w:rFonts w:ascii="宋体" w:hAnsi="宋体"/>
          <w:b/>
          <w:color w:val="auto"/>
          <w:sz w:val="24"/>
        </w:rPr>
      </w:pPr>
      <w:r>
        <w:rPr>
          <w:rFonts w:hint="eastAsia" w:ascii="宋体" w:hAnsi="宋体"/>
          <w:b/>
          <w:color w:val="auto"/>
          <w:sz w:val="24"/>
        </w:rPr>
        <w:t>第</w:t>
      </w:r>
      <w:r>
        <w:rPr>
          <w:rFonts w:hint="eastAsia" w:ascii="宋体" w:hAnsi="宋体"/>
          <w:b/>
          <w:bCs/>
          <w:color w:val="auto"/>
          <w:sz w:val="24"/>
        </w:rPr>
        <w:t>十二</w:t>
      </w:r>
      <w:r>
        <w:rPr>
          <w:rFonts w:hint="eastAsia" w:ascii="宋体" w:hAnsi="宋体"/>
          <w:b/>
          <w:color w:val="auto"/>
          <w:sz w:val="24"/>
        </w:rPr>
        <w:t xml:space="preserve">条 </w:t>
      </w:r>
      <w:r>
        <w:rPr>
          <w:rFonts w:hint="eastAsia" w:ascii="宋体" w:hAnsi="宋体"/>
          <w:color w:val="auto"/>
          <w:sz w:val="24"/>
        </w:rPr>
        <w:t>评标委员会在评标过程中发现的问题，应当区别情形及时作出处理或者向采购人提出处理建议，并作书面记录。</w:t>
      </w:r>
    </w:p>
    <w:p>
      <w:pPr>
        <w:adjustRightInd w:val="0"/>
        <w:snapToGrid w:val="0"/>
        <w:spacing w:line="360" w:lineRule="auto"/>
        <w:ind w:right="-11" w:firstLine="482" w:firstLineChars="200"/>
        <w:rPr>
          <w:rFonts w:ascii="宋体" w:hAnsi="宋体"/>
          <w:color w:val="auto"/>
          <w:sz w:val="24"/>
        </w:rPr>
      </w:pPr>
      <w:r>
        <w:rPr>
          <w:rFonts w:hint="eastAsia" w:ascii="宋体" w:hAnsi="宋体"/>
          <w:b/>
          <w:color w:val="auto"/>
          <w:sz w:val="24"/>
        </w:rPr>
        <w:t>第</w:t>
      </w:r>
      <w:r>
        <w:rPr>
          <w:rFonts w:hint="eastAsia" w:ascii="宋体" w:hAnsi="宋体"/>
          <w:b/>
          <w:bCs/>
          <w:color w:val="auto"/>
          <w:sz w:val="24"/>
        </w:rPr>
        <w:t>十</w:t>
      </w:r>
      <w:r>
        <w:rPr>
          <w:rFonts w:hint="eastAsia" w:ascii="宋体" w:hAnsi="宋体"/>
          <w:b/>
          <w:color w:val="auto"/>
          <w:sz w:val="24"/>
        </w:rPr>
        <w:t xml:space="preserve">三条 </w:t>
      </w:r>
      <w:r>
        <w:rPr>
          <w:rFonts w:hint="eastAsia" w:ascii="宋体" w:hAnsi="宋体"/>
          <w:color w:val="auto"/>
          <w:sz w:val="24"/>
        </w:rPr>
        <w:t>在评审过程中，评标委员会发现投标供应商的报价或者某些分项报价明显不合理或者低于成本，有可能影响商品质量或不能诚信履约的，评标委员会将以询标的方式告知并要求投标供应商以书面方式进行必要的说明或补正。对于询标后判定为不符合招标文件的报价，评标委员会应提出充足的否定理由，并予以书面记录。最终对投标供应商的评审结论分为通过和未通过。</w:t>
      </w:r>
    </w:p>
    <w:p>
      <w:pPr>
        <w:adjustRightInd w:val="0"/>
        <w:snapToGrid w:val="0"/>
        <w:spacing w:line="360" w:lineRule="auto"/>
        <w:ind w:right="-10" w:firstLine="482" w:firstLineChars="200"/>
        <w:rPr>
          <w:rFonts w:ascii="宋体" w:hAnsi="宋体"/>
          <w:color w:val="auto"/>
          <w:sz w:val="24"/>
        </w:rPr>
      </w:pPr>
      <w:r>
        <w:rPr>
          <w:rFonts w:hint="eastAsia" w:ascii="宋体" w:hAnsi="宋体"/>
          <w:b/>
          <w:bCs/>
          <w:color w:val="auto"/>
          <w:sz w:val="24"/>
        </w:rPr>
        <w:t xml:space="preserve">第十四条 </w:t>
      </w:r>
      <w:r>
        <w:rPr>
          <w:rFonts w:hint="eastAsia" w:ascii="宋体" w:hAnsi="宋体"/>
          <w:color w:val="auto"/>
          <w:sz w:val="24"/>
        </w:rPr>
        <w:t>投标供应商有串通投标、弄虚作假、行贿等违法行为，评委会有权否决其投标。</w:t>
      </w:r>
    </w:p>
    <w:p>
      <w:pPr>
        <w:adjustRightInd w:val="0"/>
        <w:snapToGrid w:val="0"/>
        <w:spacing w:line="360" w:lineRule="auto"/>
        <w:ind w:right="-10" w:firstLine="482" w:firstLineChars="200"/>
        <w:rPr>
          <w:rFonts w:ascii="宋体" w:hAnsi="宋体"/>
          <w:color w:val="auto"/>
          <w:sz w:val="24"/>
        </w:rPr>
      </w:pPr>
      <w:r>
        <w:rPr>
          <w:rFonts w:hint="eastAsia" w:ascii="宋体" w:hAnsi="宋体"/>
          <w:b/>
          <w:bCs/>
          <w:color w:val="auto"/>
          <w:sz w:val="24"/>
        </w:rPr>
        <w:t xml:space="preserve">第十五条 </w:t>
      </w:r>
      <w:r>
        <w:rPr>
          <w:rFonts w:hint="eastAsia" w:ascii="宋体" w:hAnsi="宋体"/>
          <w:color w:val="auto"/>
          <w:sz w:val="24"/>
        </w:rPr>
        <w:t>评标后，评标委员会应编写评审报告并签字。评审报告是评标委员会根据全体评标成员签字的原始评标记录和评标结果编写的报告，评标委员会全体成员均须在评审报告上签字。评审报告应如实记录本次评标的主要过程，全面反映评标过程中的各种不同的意见，以及其他澄清、说明、补正事项。</w:t>
      </w:r>
    </w:p>
    <w:p>
      <w:pPr>
        <w:adjustRightInd w:val="0"/>
        <w:snapToGrid w:val="0"/>
        <w:spacing w:line="360" w:lineRule="auto"/>
        <w:ind w:right="-11" w:firstLine="482" w:firstLineChars="200"/>
        <w:rPr>
          <w:rFonts w:ascii="宋体" w:hAnsi="宋体"/>
          <w:color w:val="auto"/>
          <w:sz w:val="24"/>
        </w:rPr>
      </w:pPr>
      <w:r>
        <w:rPr>
          <w:rFonts w:hint="eastAsia" w:ascii="宋体" w:hAnsi="宋体"/>
          <w:b/>
          <w:color w:val="auto"/>
          <w:sz w:val="24"/>
        </w:rPr>
        <w:t>第十六条</w:t>
      </w:r>
      <w:r>
        <w:rPr>
          <w:rFonts w:hint="eastAsia" w:ascii="宋体" w:hAnsi="宋体"/>
          <w:color w:val="auto"/>
          <w:sz w:val="24"/>
        </w:rPr>
        <w:t xml:space="preserve"> 评标委员会成员应当在评审报告上签字，对自己的评审意见承担法律责任。对评审报告有异议的，应当在评审报告上签署不同意见，并说明理由，否则视为同意评审报告。</w:t>
      </w:r>
    </w:p>
    <w:p>
      <w:pPr>
        <w:adjustRightInd w:val="0"/>
        <w:snapToGrid w:val="0"/>
        <w:spacing w:line="360" w:lineRule="auto"/>
        <w:ind w:right="-11" w:firstLine="482" w:firstLineChars="200"/>
        <w:rPr>
          <w:rFonts w:ascii="宋体" w:hAnsi="宋体"/>
          <w:color w:val="auto"/>
          <w:sz w:val="24"/>
        </w:rPr>
      </w:pPr>
      <w:r>
        <w:rPr>
          <w:rFonts w:hint="eastAsia" w:ascii="宋体" w:hAnsi="宋体"/>
          <w:b/>
          <w:color w:val="auto"/>
          <w:sz w:val="24"/>
        </w:rPr>
        <w:t>第十七条</w:t>
      </w:r>
      <w:r>
        <w:rPr>
          <w:rFonts w:hint="eastAsia" w:ascii="宋体" w:hAnsi="宋体"/>
          <w:color w:val="auto"/>
          <w:sz w:val="24"/>
        </w:rPr>
        <w:t xml:space="preserve"> 评标委员会和评标工作人员应严格遵守国家的法律、法规和规章制度；严格按照本次招标文件进行评标；公正廉洁、不徇私情，不得损害国家利益；保护采购人、投标供应商的合法权益。</w:t>
      </w:r>
    </w:p>
    <w:p>
      <w:pPr>
        <w:spacing w:line="360" w:lineRule="auto"/>
        <w:ind w:firstLine="482" w:firstLineChars="200"/>
        <w:jc w:val="left"/>
        <w:rPr>
          <w:rFonts w:hint="eastAsia" w:ascii="宋体" w:hAnsi="宋体"/>
          <w:color w:val="auto"/>
          <w:sz w:val="24"/>
        </w:rPr>
      </w:pPr>
      <w:r>
        <w:rPr>
          <w:rFonts w:hint="eastAsia" w:ascii="宋体" w:hAnsi="宋体"/>
          <w:b/>
          <w:color w:val="auto"/>
          <w:sz w:val="24"/>
        </w:rPr>
        <w:t xml:space="preserve">第十八条 </w:t>
      </w:r>
      <w:r>
        <w:rPr>
          <w:rFonts w:hint="eastAsia" w:ascii="宋体" w:hAnsi="宋体"/>
          <w:color w:val="auto"/>
          <w:sz w:val="24"/>
        </w:rPr>
        <w:t>在评标过程中，评委及其他评标工作人员必须对评标情况严格保密，任何人不得将评标情况透露给与投标供应商有关的单位和个人。如有违反评标纪律的情况发生，将依据法律法规的规定，追究有关当事人的责任。</w:t>
      </w:r>
    </w:p>
    <w:p>
      <w:r>
        <w:rPr>
          <w:color w:val="auto"/>
        </w:rPr>
        <w:br w:type="page"/>
      </w:r>
      <w:bookmarkStart w:id="0" w:name="_Toc5112"/>
      <w:bookmarkStart w:id="1" w:name="_Toc534809203"/>
      <w:r>
        <w:rPr>
          <w:rFonts w:hint="eastAsia"/>
          <w:b/>
          <w:bCs/>
          <w:color w:val="auto"/>
          <w:sz w:val="32"/>
          <w:szCs w:val="32"/>
        </w:rPr>
        <w:t xml:space="preserve"> </w:t>
      </w:r>
      <w:bookmarkEnd w:id="0"/>
      <w:bookmarkEnd w:id="1"/>
      <w:bookmarkStart w:id="2" w:name="_GoBack"/>
      <w:bookmarkEnd w:id="2"/>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39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hint="eastAsia" w:eastAsia="宋体"/>
        <w:lang w:eastAsia="zh-CN"/>
      </w:rPr>
    </w:pPr>
    <w:r>
      <w:rPr>
        <w:rFonts w:hint="eastAsia"/>
      </w:rPr>
      <w:t>项目名称：</w:t>
    </w:r>
    <w:r>
      <w:rPr>
        <w:rFonts w:hint="eastAsia"/>
        <w:lang w:eastAsia="zh-CN"/>
      </w:rPr>
      <w:t>安徽省中西医结合医院（安徽中医药大学第三附属医院）采购医疗设备维修外包服务项目</w:t>
    </w:r>
  </w:p>
  <w:p>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26AF98"/>
    <w:multiLevelType w:val="multilevel"/>
    <w:tmpl w:val="3A26AF98"/>
    <w:lvl w:ilvl="0" w:tentative="0">
      <w:start w:val="2"/>
      <w:numFmt w:val="decimal"/>
      <w:suff w:val="nothing"/>
      <w:lvlText w:val="%1、"/>
      <w:lvlJc w:val="left"/>
    </w:lvl>
    <w:lvl w:ilvl="1" w:tentative="0">
      <w:start w:val="0"/>
      <w:numFmt w:val="bullet"/>
      <w:lvlText w:val="•"/>
      <w:lvlJc w:val="left"/>
      <w:pPr>
        <w:ind w:left="2014" w:hanging="421"/>
      </w:pPr>
      <w:rPr>
        <w:rFonts w:hint="default"/>
        <w:lang w:val="zh-CN" w:eastAsia="zh-CN" w:bidi="zh-CN"/>
      </w:rPr>
    </w:lvl>
    <w:lvl w:ilvl="2" w:tentative="0">
      <w:start w:val="0"/>
      <w:numFmt w:val="bullet"/>
      <w:lvlText w:val="•"/>
      <w:lvlJc w:val="left"/>
      <w:pPr>
        <w:ind w:left="2669" w:hanging="421"/>
      </w:pPr>
      <w:rPr>
        <w:rFonts w:hint="default"/>
        <w:lang w:val="zh-CN" w:eastAsia="zh-CN" w:bidi="zh-CN"/>
      </w:rPr>
    </w:lvl>
    <w:lvl w:ilvl="3" w:tentative="0">
      <w:start w:val="0"/>
      <w:numFmt w:val="bullet"/>
      <w:lvlText w:val="•"/>
      <w:lvlJc w:val="left"/>
      <w:pPr>
        <w:ind w:left="3324" w:hanging="421"/>
      </w:pPr>
      <w:rPr>
        <w:rFonts w:hint="default"/>
        <w:lang w:val="zh-CN" w:eastAsia="zh-CN" w:bidi="zh-CN"/>
      </w:rPr>
    </w:lvl>
    <w:lvl w:ilvl="4" w:tentative="0">
      <w:start w:val="0"/>
      <w:numFmt w:val="bullet"/>
      <w:lvlText w:val="•"/>
      <w:lvlJc w:val="left"/>
      <w:pPr>
        <w:ind w:left="3978" w:hanging="421"/>
      </w:pPr>
      <w:rPr>
        <w:rFonts w:hint="default"/>
        <w:lang w:val="zh-CN" w:eastAsia="zh-CN" w:bidi="zh-CN"/>
      </w:rPr>
    </w:lvl>
    <w:lvl w:ilvl="5" w:tentative="0">
      <w:start w:val="0"/>
      <w:numFmt w:val="bullet"/>
      <w:lvlText w:val="•"/>
      <w:lvlJc w:val="left"/>
      <w:pPr>
        <w:ind w:left="4633" w:hanging="421"/>
      </w:pPr>
      <w:rPr>
        <w:rFonts w:hint="default"/>
        <w:lang w:val="zh-CN" w:eastAsia="zh-CN" w:bidi="zh-CN"/>
      </w:rPr>
    </w:lvl>
    <w:lvl w:ilvl="6" w:tentative="0">
      <w:start w:val="0"/>
      <w:numFmt w:val="bullet"/>
      <w:lvlText w:val="•"/>
      <w:lvlJc w:val="left"/>
      <w:pPr>
        <w:ind w:left="5288" w:hanging="421"/>
      </w:pPr>
      <w:rPr>
        <w:rFonts w:hint="default"/>
        <w:lang w:val="zh-CN" w:eastAsia="zh-CN" w:bidi="zh-CN"/>
      </w:rPr>
    </w:lvl>
    <w:lvl w:ilvl="7" w:tentative="0">
      <w:start w:val="0"/>
      <w:numFmt w:val="bullet"/>
      <w:lvlText w:val="•"/>
      <w:lvlJc w:val="left"/>
      <w:pPr>
        <w:ind w:left="5942" w:hanging="421"/>
      </w:pPr>
      <w:rPr>
        <w:rFonts w:hint="default"/>
        <w:lang w:val="zh-CN" w:eastAsia="zh-CN" w:bidi="zh-CN"/>
      </w:rPr>
    </w:lvl>
    <w:lvl w:ilvl="8" w:tentative="0">
      <w:start w:val="0"/>
      <w:numFmt w:val="bullet"/>
      <w:lvlText w:val="•"/>
      <w:lvlJc w:val="left"/>
      <w:pPr>
        <w:ind w:left="6597" w:hanging="421"/>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MDliOWQ4MDJhM2Y4NjY3OTk0MGU3MGVjMTcwZmYifQ=="/>
  </w:docVars>
  <w:rsids>
    <w:rsidRoot w:val="00000000"/>
    <w:rsid w:val="6A504D0C"/>
    <w:rsid w:val="798B5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340" w:after="331"/>
      <w:jc w:val="center"/>
      <w:outlineLvl w:val="0"/>
    </w:pPr>
    <w:rPr>
      <w:rFonts w:eastAsia="宋体"/>
      <w:b/>
      <w:sz w:val="32"/>
      <w:szCs w:val="24"/>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style>
  <w:style w:type="paragraph" w:styleId="4">
    <w:name w:val="Body Text Indent"/>
    <w:basedOn w:val="1"/>
    <w:next w:val="5"/>
    <w:qFormat/>
    <w:uiPriority w:val="0"/>
    <w:pPr>
      <w:spacing w:after="120"/>
      <w:ind w:left="420" w:leftChars="200"/>
    </w:pPr>
  </w:style>
  <w:style w:type="paragraph" w:styleId="5">
    <w:name w:val="envelope return"/>
    <w:basedOn w:val="1"/>
    <w:next w:val="6"/>
    <w:qFormat/>
    <w:uiPriority w:val="0"/>
    <w:pPr>
      <w:snapToGrid w:val="0"/>
    </w:pPr>
    <w:rPr>
      <w:rFonts w:ascii="Arial" w:hAnsi="Arial"/>
    </w:rPr>
  </w:style>
  <w:style w:type="paragraph" w:styleId="6">
    <w:name w:val="Body Text Indent 3"/>
    <w:basedOn w:val="1"/>
    <w:next w:val="1"/>
    <w:qFormat/>
    <w:uiPriority w:val="0"/>
    <w:pPr>
      <w:spacing w:after="120"/>
      <w:ind w:left="420" w:leftChars="200"/>
    </w:pPr>
    <w:rPr>
      <w:sz w:val="16"/>
      <w:szCs w:val="16"/>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w:basedOn w:val="1"/>
    <w:qFormat/>
    <w:uiPriority w:val="0"/>
    <w:pPr>
      <w:ind w:left="200" w:hanging="200" w:hangingChars="200"/>
    </w:pPr>
    <w:rPr>
      <w:szCs w:val="20"/>
    </w:rPr>
  </w:style>
  <w:style w:type="paragraph" w:styleId="10">
    <w:name w:val="Body Text First Indent"/>
    <w:basedOn w:val="3"/>
    <w:qFormat/>
    <w:uiPriority w:val="0"/>
    <w:pPr>
      <w:tabs>
        <w:tab w:val="left" w:pos="1418"/>
      </w:tabs>
      <w:autoSpaceDE w:val="0"/>
      <w:autoSpaceDN w:val="0"/>
      <w:adjustRightInd w:val="0"/>
      <w:spacing w:before="120" w:beforeLines="0" w:after="120" w:afterLines="0"/>
      <w:ind w:left="1418" w:hanging="567"/>
      <w:jc w:val="left"/>
    </w:pPr>
    <w:rPr>
      <w:rFonts w:eastAsia="PMingLiU"/>
      <w:lang w:eastAsia="zh-TW"/>
    </w:rPr>
  </w:style>
  <w:style w:type="paragraph" w:styleId="11">
    <w:name w:val="Body Text First Indent 2"/>
    <w:basedOn w:val="4"/>
    <w:next w:val="10"/>
    <w:qFormat/>
    <w:uiPriority w:val="0"/>
    <w:pPr>
      <w:spacing w:after="120"/>
      <w:ind w:left="420" w:leftChars="200" w:firstLine="420" w:firstLineChars="200"/>
    </w:pPr>
    <w:rPr>
      <w:sz w:val="21"/>
    </w:rPr>
  </w:style>
  <w:style w:type="paragraph" w:customStyle="1" w:styleId="14">
    <w:name w:val="D&amp;L"/>
    <w:basedOn w:val="8"/>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6">
    <w:name w:val="Table Paragraph"/>
    <w:basedOn w:val="1"/>
    <w:qFormat/>
    <w:uiPriority w:val="1"/>
    <w:rPr>
      <w:rFonts w:ascii="宋体" w:hAnsi="宋体" w:cs="宋体"/>
      <w:szCs w:val="22"/>
      <w:lang w:val="zh-CN" w:bidi="zh-CN"/>
    </w:rPr>
  </w:style>
  <w:style w:type="paragraph" w:styleId="17">
    <w:name w:val="List Paragraph"/>
    <w:basedOn w:val="1"/>
    <w:qFormat/>
    <w:uiPriority w:val="0"/>
    <w:pPr>
      <w:adjustRightInd w:val="0"/>
      <w:ind w:firstLine="420" w:firstLineChars="200"/>
      <w:jc w:val="left"/>
      <w:textAlignment w:val="baseline"/>
    </w:pPr>
    <w:rPr>
      <w:kern w:val="0"/>
      <w:szCs w:val="20"/>
    </w:rPr>
  </w:style>
  <w:style w:type="table" w:customStyle="1" w:styleId="18">
    <w:name w:val="Table Normal"/>
    <w:unhideWhenUsed/>
    <w:qFormat/>
    <w:uiPriority w:val="0"/>
    <w:tblPr>
      <w:tblCellMar>
        <w:top w:w="0" w:type="dxa"/>
        <w:left w:w="0" w:type="dxa"/>
        <w:bottom w:w="0" w:type="dxa"/>
        <w:right w:w="0" w:type="dxa"/>
      </w:tblCellMar>
    </w:tblPr>
  </w:style>
  <w:style w:type="character" w:customStyle="1" w:styleId="19">
    <w:name w:val="font21"/>
    <w:basedOn w:val="13"/>
    <w:qFormat/>
    <w:uiPriority w:val="0"/>
    <w:rPr>
      <w:rFonts w:hint="eastAsia" w:ascii="宋体" w:hAnsi="宋体" w:eastAsia="宋体" w:cs="宋体"/>
      <w:color w:val="000000"/>
      <w:sz w:val="20"/>
      <w:szCs w:val="20"/>
      <w:u w:val="none"/>
    </w:rPr>
  </w:style>
  <w:style w:type="character" w:customStyle="1" w:styleId="20">
    <w:name w:val="font61"/>
    <w:basedOn w:val="13"/>
    <w:qFormat/>
    <w:uiPriority w:val="0"/>
    <w:rPr>
      <w:rFonts w:ascii="Tahoma" w:hAnsi="Tahoma" w:eastAsia="Tahoma" w:cs="Tahoma"/>
      <w:color w:val="000000"/>
      <w:sz w:val="20"/>
      <w:szCs w:val="20"/>
      <w:u w:val="none"/>
    </w:rPr>
  </w:style>
  <w:style w:type="character" w:customStyle="1" w:styleId="21">
    <w:name w:val="font81"/>
    <w:basedOn w:val="13"/>
    <w:qFormat/>
    <w:uiPriority w:val="0"/>
    <w:rPr>
      <w:rFonts w:hint="default" w:ascii="Times New Roman" w:hAnsi="Times New Roman" w:cs="Times New Roman"/>
      <w:color w:val="000000"/>
      <w:sz w:val="20"/>
      <w:szCs w:val="20"/>
      <w:u w:val="none"/>
    </w:rPr>
  </w:style>
  <w:style w:type="character" w:customStyle="1" w:styleId="22">
    <w:name w:val="font91"/>
    <w:basedOn w:val="13"/>
    <w:qFormat/>
    <w:uiPriority w:val="0"/>
    <w:rPr>
      <w:rFonts w:hint="eastAsia" w:ascii="宋体" w:hAnsi="宋体" w:eastAsia="宋体" w:cs="宋体"/>
      <w:color w:val="000000"/>
      <w:sz w:val="20"/>
      <w:szCs w:val="20"/>
      <w:u w:val="none"/>
    </w:rPr>
  </w:style>
  <w:style w:type="character" w:customStyle="1" w:styleId="23">
    <w:name w:val="font101"/>
    <w:basedOn w:val="13"/>
    <w:qFormat/>
    <w:uiPriority w:val="0"/>
    <w:rPr>
      <w:rFonts w:ascii="微软雅黑" w:hAnsi="微软雅黑" w:eastAsia="微软雅黑" w:cs="微软雅黑"/>
      <w:color w:val="000000"/>
      <w:sz w:val="20"/>
      <w:szCs w:val="20"/>
      <w:u w:val="none"/>
    </w:rPr>
  </w:style>
  <w:style w:type="paragraph" w:customStyle="1" w:styleId="24">
    <w:name w:val="Char11"/>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2024-05-24T03:14:58Z</dcterms:created>
  <dc:creator>Administrator</dc:creator>
  <cp:lastModifiedBy>Administrator</cp:lastModifiedBy>
  <dcterms:modified xsi:type="dcterms:W3CDTF">2024-05-24T03:16:48Z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5CE032A48BC24C63B99064A75E8B2BCA_12</vt:lpwstr>
  </property>
</Properties>
</file>